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sz w:val="112"/>
          <w:szCs w:val="112"/>
        </w:rPr>
      </w:pPr>
      <w:bookmarkStart w:id="0" w:name="_Toc493506315"/>
      <w:bookmarkStart w:id="1" w:name="_Toc12789072"/>
      <w:r>
        <w:rPr>
          <w:rFonts w:hint="eastAsia" w:ascii="仿宋" w:hAnsi="仿宋" w:eastAsia="仿宋" w:cs="仿宋"/>
          <w:sz w:val="112"/>
          <w:szCs w:val="112"/>
        </w:rPr>
        <w:t>竞争性磋商文件</w:t>
      </w:r>
    </w:p>
    <w:p>
      <w:pPr>
        <w:spacing w:line="700" w:lineRule="exact"/>
        <w:jc w:val="center"/>
        <w:rPr>
          <w:rFonts w:ascii="仿宋" w:hAnsi="仿宋" w:eastAsia="仿宋" w:cs="仿宋"/>
          <w:sz w:val="32"/>
        </w:rPr>
      </w:pPr>
    </w:p>
    <w:p>
      <w:pPr>
        <w:spacing w:line="700" w:lineRule="exact"/>
        <w:jc w:val="center"/>
        <w:rPr>
          <w:rFonts w:ascii="仿宋" w:hAnsi="仿宋" w:eastAsia="仿宋" w:cs="仿宋"/>
          <w:sz w:val="32"/>
        </w:rPr>
      </w:pPr>
    </w:p>
    <w:p>
      <w:pPr>
        <w:spacing w:line="500" w:lineRule="exact"/>
        <w:rPr>
          <w:rFonts w:ascii="仿宋" w:hAnsi="仿宋" w:eastAsia="仿宋" w:cs="仿宋"/>
          <w:sz w:val="32"/>
        </w:rPr>
      </w:pPr>
    </w:p>
    <w:p>
      <w:pPr>
        <w:spacing w:line="500" w:lineRule="exact"/>
        <w:rPr>
          <w:rFonts w:ascii="仿宋" w:hAnsi="仿宋" w:eastAsia="仿宋" w:cs="仿宋"/>
          <w:sz w:val="32"/>
        </w:rPr>
      </w:pPr>
    </w:p>
    <w:p>
      <w:pPr>
        <w:rPr>
          <w:rFonts w:ascii="Cambria" w:hAnsi="Cambria" w:eastAsia="方正小标宋_GBK" w:cs="宋体"/>
          <w:sz w:val="32"/>
        </w:rPr>
      </w:pPr>
      <w:r>
        <w:rPr>
          <w:rFonts w:hint="eastAsia" w:ascii="仿宋" w:hAnsi="仿宋" w:eastAsia="仿宋" w:cs="仿宋"/>
          <w:sz w:val="36"/>
          <w:szCs w:val="30"/>
        </w:rPr>
        <w:t>项 目 编 号 ：</w:t>
      </w:r>
      <w:r>
        <w:rPr>
          <w:rFonts w:hint="eastAsia" w:ascii="方正小标宋_GBK" w:hAnsi="方正小标宋_GBK" w:eastAsia="方正小标宋_GBK" w:cs="宋体"/>
          <w:sz w:val="32"/>
        </w:rPr>
        <w:t>CQHGZYXY-202130</w:t>
      </w:r>
    </w:p>
    <w:p>
      <w:pPr>
        <w:pStyle w:val="13"/>
        <w:spacing w:line="240" w:lineRule="auto"/>
      </w:pPr>
    </w:p>
    <w:p>
      <w:pPr>
        <w:widowControl/>
        <w:shd w:val="clear" w:color="auto" w:fill="FFFFFF"/>
        <w:rPr>
          <w:rFonts w:ascii="方正小标宋_GBK" w:hAnsi="方正小标宋_GBK" w:eastAsia="仿宋" w:cs="宋体"/>
          <w:sz w:val="32"/>
        </w:rPr>
      </w:pPr>
      <w:r>
        <w:rPr>
          <w:rFonts w:hint="eastAsia" w:ascii="仿宋" w:hAnsi="仿宋" w:eastAsia="仿宋" w:cs="仿宋"/>
          <w:sz w:val="36"/>
          <w:szCs w:val="30"/>
        </w:rPr>
        <w:t>项 目 名 称 ：</w:t>
      </w:r>
      <w:r>
        <w:rPr>
          <w:rFonts w:hint="eastAsia" w:ascii="方正小标宋_GBK" w:hAnsi="方正小标宋_GBK" w:eastAsia="仿宋" w:cs="宋体"/>
          <w:sz w:val="32"/>
        </w:rPr>
        <w:t>重庆化工职业学院长寿校区田径场主席台会标屏</w:t>
      </w:r>
    </w:p>
    <w:p>
      <w:pPr>
        <w:widowControl/>
        <w:shd w:val="clear" w:color="auto" w:fill="FFFFFF"/>
        <w:ind w:firstLine="2560" w:firstLineChars="800"/>
        <w:rPr>
          <w:rFonts w:ascii="方正小标宋_GBK" w:hAnsi="方正小标宋_GBK" w:eastAsia="仿宋" w:cs="宋体"/>
          <w:sz w:val="32"/>
        </w:rPr>
      </w:pPr>
      <w:r>
        <w:rPr>
          <w:rFonts w:hint="eastAsia" w:ascii="方正小标宋_GBK" w:hAnsi="方正小标宋_GBK" w:eastAsia="仿宋" w:cs="宋体"/>
          <w:sz w:val="32"/>
        </w:rPr>
        <w:t>及看台标识字制作安装项目（第</w:t>
      </w:r>
      <w:r>
        <w:rPr>
          <w:rFonts w:hint="eastAsia" w:ascii="方正小标宋_GBK" w:hAnsi="方正小标宋_GBK" w:eastAsia="仿宋" w:cs="宋体"/>
          <w:sz w:val="32"/>
          <w:lang w:val="en-US" w:eastAsia="zh-CN"/>
        </w:rPr>
        <w:t>三</w:t>
      </w:r>
      <w:r>
        <w:rPr>
          <w:rFonts w:hint="eastAsia" w:ascii="方正小标宋_GBK" w:hAnsi="方正小标宋_GBK" w:eastAsia="仿宋" w:cs="宋体"/>
          <w:sz w:val="32"/>
        </w:rPr>
        <w:t>次）</w:t>
      </w:r>
    </w:p>
    <w:p>
      <w:pPr>
        <w:jc w:val="center"/>
        <w:rPr>
          <w:rFonts w:ascii="仿宋" w:hAnsi="仿宋" w:eastAsia="仿宋" w:cs="仿宋"/>
          <w:sz w:val="48"/>
          <w:szCs w:val="48"/>
        </w:rPr>
      </w:pPr>
    </w:p>
    <w:p>
      <w:pPr>
        <w:jc w:val="center"/>
        <w:rPr>
          <w:rFonts w:ascii="仿宋" w:hAnsi="仿宋" w:eastAsia="仿宋" w:cs="仿宋"/>
          <w:b/>
          <w:sz w:val="48"/>
          <w:szCs w:val="48"/>
        </w:rPr>
      </w:pPr>
    </w:p>
    <w:p>
      <w:pPr>
        <w:spacing w:line="700" w:lineRule="exact"/>
        <w:rPr>
          <w:rFonts w:ascii="仿宋" w:hAnsi="仿宋" w:eastAsia="仿宋" w:cs="仿宋"/>
          <w:b/>
          <w:sz w:val="30"/>
          <w:szCs w:val="30"/>
        </w:rPr>
      </w:pPr>
    </w:p>
    <w:p>
      <w:pPr>
        <w:spacing w:line="700" w:lineRule="exact"/>
        <w:rPr>
          <w:rFonts w:ascii="仿宋" w:hAnsi="仿宋" w:eastAsia="仿宋" w:cs="仿宋"/>
          <w:b/>
          <w:sz w:val="30"/>
          <w:szCs w:val="30"/>
        </w:rPr>
      </w:pPr>
    </w:p>
    <w:p>
      <w:pPr>
        <w:pStyle w:val="5"/>
      </w:pPr>
    </w:p>
    <w:p>
      <w:pPr>
        <w:pStyle w:val="5"/>
      </w:pPr>
    </w:p>
    <w:p>
      <w:pPr>
        <w:jc w:val="center"/>
        <w:rPr>
          <w:rFonts w:ascii="仿宋" w:hAnsi="仿宋" w:eastAsia="仿宋" w:cs="仿宋"/>
          <w:color w:val="FF0000"/>
          <w:sz w:val="36"/>
          <w:szCs w:val="30"/>
        </w:rPr>
      </w:pPr>
      <w:r>
        <w:rPr>
          <w:rFonts w:hint="eastAsia" w:ascii="仿宋" w:hAnsi="仿宋" w:eastAsia="仿宋" w:cs="仿宋"/>
          <w:sz w:val="36"/>
          <w:szCs w:val="30"/>
        </w:rPr>
        <w:t>采购人：重庆化工职业学院</w:t>
      </w:r>
    </w:p>
    <w:p>
      <w:pPr>
        <w:jc w:val="center"/>
        <w:rPr>
          <w:rFonts w:ascii="仿宋" w:hAnsi="仿宋" w:eastAsia="仿宋" w:cs="仿宋"/>
          <w:sz w:val="48"/>
          <w:szCs w:val="32"/>
        </w:rPr>
      </w:pPr>
    </w:p>
    <w:p>
      <w:pPr>
        <w:spacing w:line="720" w:lineRule="exact"/>
        <w:jc w:val="center"/>
        <w:rPr>
          <w:rFonts w:ascii="仿宋" w:hAnsi="仿宋" w:eastAsia="仿宋" w:cs="仿宋"/>
          <w:sz w:val="48"/>
          <w:szCs w:val="32"/>
        </w:rPr>
      </w:pPr>
    </w:p>
    <w:p>
      <w:pPr>
        <w:spacing w:line="720" w:lineRule="exact"/>
        <w:jc w:val="center"/>
        <w:rPr>
          <w:rFonts w:ascii="仿宋" w:hAnsi="仿宋" w:eastAsia="仿宋" w:cs="仿宋"/>
          <w:sz w:val="44"/>
          <w:szCs w:val="28"/>
        </w:rPr>
      </w:pPr>
      <w:r>
        <w:rPr>
          <w:rFonts w:hint="eastAsia" w:ascii="仿宋" w:hAnsi="仿宋" w:eastAsia="仿宋" w:cs="仿宋"/>
          <w:sz w:val="48"/>
          <w:szCs w:val="32"/>
        </w:rPr>
        <w:t>二〇二一年</w:t>
      </w:r>
      <w:r>
        <w:rPr>
          <w:rFonts w:hint="eastAsia" w:ascii="仿宋" w:hAnsi="仿宋" w:eastAsia="仿宋" w:cs="仿宋"/>
          <w:sz w:val="48"/>
          <w:szCs w:val="32"/>
          <w:lang w:val="en-US" w:eastAsia="zh-CN"/>
        </w:rPr>
        <w:t>九</w:t>
      </w:r>
      <w:r>
        <w:rPr>
          <w:rFonts w:hint="eastAsia" w:ascii="仿宋" w:hAnsi="仿宋" w:eastAsia="仿宋" w:cs="仿宋"/>
          <w:sz w:val="48"/>
          <w:szCs w:val="32"/>
        </w:rPr>
        <w:t>月</w:t>
      </w:r>
    </w:p>
    <w:p>
      <w:pPr>
        <w:spacing w:line="480" w:lineRule="exact"/>
        <w:rPr>
          <w:rFonts w:ascii="仿宋" w:hAnsi="仿宋" w:eastAsia="仿宋" w:cs="仿宋"/>
          <w:sz w:val="44"/>
          <w:szCs w:val="28"/>
        </w:rPr>
        <w:sectPr>
          <w:pgSz w:w="11907" w:h="16840"/>
          <w:pgMar w:top="1134" w:right="1191" w:bottom="1134" w:left="1304" w:header="964" w:footer="992" w:gutter="0"/>
          <w:pgNumType w:fmt="numberInDash"/>
          <w:cols w:space="720" w:num="1"/>
        </w:sectPr>
      </w:pPr>
    </w:p>
    <w:p>
      <w:pPr>
        <w:spacing w:line="480" w:lineRule="exact"/>
        <w:jc w:val="center"/>
        <w:rPr>
          <w:rFonts w:ascii="仿宋" w:hAnsi="仿宋" w:eastAsia="仿宋" w:cs="仿宋"/>
          <w:sz w:val="44"/>
          <w:szCs w:val="28"/>
        </w:rPr>
      </w:pPr>
      <w:r>
        <w:rPr>
          <w:rFonts w:hint="eastAsia" w:ascii="仿宋" w:hAnsi="仿宋" w:eastAsia="仿宋" w:cs="仿宋"/>
          <w:sz w:val="44"/>
          <w:szCs w:val="28"/>
        </w:rPr>
        <w:t>目   录</w:t>
      </w:r>
    </w:p>
    <w:p>
      <w:pPr>
        <w:pStyle w:val="13"/>
        <w:tabs>
          <w:tab w:val="right" w:leader="dot" w:pos="9402"/>
        </w:tabs>
        <w:jc w:val="both"/>
        <w:rPr>
          <w:rFonts w:asciiTheme="minorHAnsi" w:hAnsiTheme="minorHAnsi" w:eastAsiaTheme="minorEastAsia" w:cstheme="minorBidi"/>
          <w:sz w:val="21"/>
          <w:szCs w:val="22"/>
        </w:rPr>
      </w:pPr>
      <w:bookmarkStart w:id="2" w:name="_Toc11641050"/>
      <w:bookmarkStart w:id="3" w:name="_Toc12789052"/>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fldChar w:fldCharType="begin"/>
      </w:r>
      <w:r>
        <w:instrText xml:space="preserve"> HYPERLINK \l "_Toc80882041" </w:instrText>
      </w:r>
      <w:r>
        <w:fldChar w:fldCharType="separate"/>
      </w:r>
      <w:r>
        <w:rPr>
          <w:rStyle w:val="17"/>
          <w:rFonts w:hint="eastAsia" w:ascii="仿宋" w:hAnsi="仿宋" w:eastAsia="仿宋" w:cs="仿宋"/>
          <w:b/>
          <w:bCs/>
        </w:rPr>
        <w:t>第一篇</w:t>
      </w:r>
      <w:r>
        <w:rPr>
          <w:rStyle w:val="17"/>
          <w:rFonts w:ascii="仿宋" w:hAnsi="仿宋" w:eastAsia="仿宋" w:cs="仿宋"/>
          <w:b/>
          <w:bCs/>
        </w:rPr>
        <w:t xml:space="preserve">  </w:t>
      </w:r>
      <w:r>
        <w:rPr>
          <w:rStyle w:val="17"/>
          <w:rFonts w:hint="eastAsia" w:ascii="仿宋" w:hAnsi="仿宋" w:eastAsia="仿宋" w:cs="仿宋"/>
          <w:b/>
          <w:bCs/>
        </w:rPr>
        <w:t>竞争性邀请书</w:t>
      </w:r>
      <w:r>
        <w:tab/>
      </w:r>
      <w:r>
        <w:fldChar w:fldCharType="begin"/>
      </w:r>
      <w:r>
        <w:instrText xml:space="preserve"> PAGEREF _Toc80882041 \h </w:instrText>
      </w:r>
      <w:r>
        <w:fldChar w:fldCharType="separate"/>
      </w:r>
      <w:r>
        <w:t>- 1 -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"_Toc80882042" </w:instrText>
      </w:r>
      <w:r>
        <w:fldChar w:fldCharType="separate"/>
      </w:r>
      <w:r>
        <w:rPr>
          <w:rStyle w:val="17"/>
          <w:rFonts w:hint="eastAsia" w:ascii="仿宋" w:hAnsi="仿宋" w:eastAsia="仿宋" w:cs="仿宋"/>
          <w:b/>
          <w:bCs/>
        </w:rPr>
        <w:t>一、竞争性磋商内容</w:t>
      </w:r>
      <w:r>
        <w:tab/>
      </w:r>
      <w:r>
        <w:fldChar w:fldCharType="begin"/>
      </w:r>
      <w:r>
        <w:instrText xml:space="preserve"> PAGEREF _Toc80882042 \h </w:instrText>
      </w:r>
      <w:r>
        <w:fldChar w:fldCharType="separate"/>
      </w:r>
      <w:r>
        <w:t>- 1 -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"_Toc80882043" </w:instrText>
      </w:r>
      <w:r>
        <w:fldChar w:fldCharType="separate"/>
      </w:r>
      <w:r>
        <w:rPr>
          <w:rStyle w:val="17"/>
          <w:rFonts w:hint="eastAsia" w:ascii="仿宋" w:hAnsi="仿宋" w:eastAsia="仿宋" w:cs="仿宋"/>
          <w:b/>
          <w:bCs/>
        </w:rPr>
        <w:t>二、资金来源</w:t>
      </w:r>
      <w:r>
        <w:tab/>
      </w:r>
      <w:r>
        <w:fldChar w:fldCharType="begin"/>
      </w:r>
      <w:r>
        <w:instrText xml:space="preserve"> PAGEREF _Toc80882043 \h </w:instrText>
      </w:r>
      <w:r>
        <w:fldChar w:fldCharType="separate"/>
      </w:r>
      <w:r>
        <w:t>- 1 -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"_Toc80882044" </w:instrText>
      </w:r>
      <w:r>
        <w:fldChar w:fldCharType="separate"/>
      </w:r>
      <w:r>
        <w:rPr>
          <w:rStyle w:val="17"/>
          <w:rFonts w:hint="eastAsia" w:ascii="仿宋" w:hAnsi="仿宋" w:eastAsia="仿宋" w:cs="仿宋"/>
          <w:b/>
          <w:bCs/>
        </w:rPr>
        <w:t>三、供应商资格条件</w:t>
      </w:r>
      <w:r>
        <w:tab/>
      </w:r>
      <w:r>
        <w:fldChar w:fldCharType="begin"/>
      </w:r>
      <w:r>
        <w:instrText xml:space="preserve"> PAGEREF _Toc80882044 \h </w:instrText>
      </w:r>
      <w:r>
        <w:fldChar w:fldCharType="separate"/>
      </w:r>
      <w:r>
        <w:t>- 1 -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"_Toc80882045" </w:instrText>
      </w:r>
      <w:r>
        <w:fldChar w:fldCharType="separate"/>
      </w:r>
      <w:r>
        <w:rPr>
          <w:rStyle w:val="17"/>
          <w:rFonts w:hint="eastAsia" w:ascii="仿宋" w:hAnsi="仿宋" w:eastAsia="仿宋" w:cs="仿宋"/>
          <w:b/>
          <w:bCs/>
        </w:rPr>
        <w:t>四、磋商有关说明</w:t>
      </w:r>
      <w:r>
        <w:tab/>
      </w:r>
      <w:r>
        <w:fldChar w:fldCharType="begin"/>
      </w:r>
      <w:r>
        <w:instrText xml:space="preserve"> PAGEREF _Toc80882045 \h </w:instrText>
      </w:r>
      <w:r>
        <w:fldChar w:fldCharType="separate"/>
      </w:r>
      <w:r>
        <w:t>- 1 -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"_Toc80882046" </w:instrText>
      </w:r>
      <w:r>
        <w:fldChar w:fldCharType="separate"/>
      </w:r>
      <w:r>
        <w:rPr>
          <w:rStyle w:val="17"/>
          <w:rFonts w:hint="eastAsia" w:ascii="仿宋" w:hAnsi="仿宋" w:eastAsia="仿宋" w:cs="宋体"/>
          <w:b/>
        </w:rPr>
        <w:t>五、保证金、标书费缴纳与退还</w:t>
      </w:r>
      <w:r>
        <w:tab/>
      </w:r>
      <w:r>
        <w:fldChar w:fldCharType="begin"/>
      </w:r>
      <w:r>
        <w:instrText xml:space="preserve"> PAGEREF _Toc80882046 \h </w:instrText>
      </w:r>
      <w:r>
        <w:fldChar w:fldCharType="separate"/>
      </w:r>
      <w:r>
        <w:t>- 2 -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"_Toc80882047" </w:instrText>
      </w:r>
      <w:r>
        <w:fldChar w:fldCharType="separate"/>
      </w:r>
      <w:r>
        <w:rPr>
          <w:rStyle w:val="17"/>
          <w:rFonts w:hint="eastAsia" w:ascii="仿宋" w:hAnsi="仿宋" w:eastAsia="仿宋" w:cs="宋体"/>
          <w:b/>
          <w:bCs/>
        </w:rPr>
        <w:t>六、采购项目需落实的政府采购政策</w:t>
      </w:r>
      <w:r>
        <w:tab/>
      </w:r>
      <w:r>
        <w:fldChar w:fldCharType="begin"/>
      </w:r>
      <w:r>
        <w:instrText xml:space="preserve"> PAGEREF _Toc80882047 \h </w:instrText>
      </w:r>
      <w:r>
        <w:fldChar w:fldCharType="separate"/>
      </w:r>
      <w:r>
        <w:t>- 2 -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"_Toc80882048" </w:instrText>
      </w:r>
      <w:r>
        <w:fldChar w:fldCharType="separate"/>
      </w:r>
      <w:r>
        <w:rPr>
          <w:rStyle w:val="17"/>
          <w:rFonts w:hint="eastAsia" w:ascii="仿宋" w:hAnsi="仿宋" w:eastAsia="仿宋" w:cs="宋体"/>
          <w:b/>
          <w:bCs/>
        </w:rPr>
        <w:t>七、其它有关规定</w:t>
      </w:r>
      <w:r>
        <w:tab/>
      </w:r>
      <w:r>
        <w:fldChar w:fldCharType="begin"/>
      </w:r>
      <w:r>
        <w:instrText xml:space="preserve"> PAGEREF _Toc80882048 \h </w:instrText>
      </w:r>
      <w:r>
        <w:fldChar w:fldCharType="separate"/>
      </w:r>
      <w:r>
        <w:t>- 3 -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"_Toc80882049" </w:instrText>
      </w:r>
      <w:r>
        <w:fldChar w:fldCharType="separate"/>
      </w:r>
      <w:r>
        <w:rPr>
          <w:rStyle w:val="17"/>
          <w:rFonts w:hint="eastAsia" w:ascii="仿宋" w:hAnsi="仿宋" w:eastAsia="仿宋" w:cs="仿宋"/>
          <w:b/>
          <w:bCs/>
        </w:rPr>
        <w:t>八、联系方式</w:t>
      </w:r>
      <w:r>
        <w:tab/>
      </w:r>
      <w:r>
        <w:fldChar w:fldCharType="begin"/>
      </w:r>
      <w:r>
        <w:instrText xml:space="preserve"> PAGEREF _Toc80882049 \h </w:instrText>
      </w:r>
      <w:r>
        <w:fldChar w:fldCharType="separate"/>
      </w:r>
      <w:r>
        <w:t>- 3 -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"_Toc80882050" </w:instrText>
      </w:r>
      <w:r>
        <w:fldChar w:fldCharType="separate"/>
      </w:r>
      <w:r>
        <w:rPr>
          <w:rStyle w:val="17"/>
          <w:rFonts w:hint="eastAsia" w:ascii="仿宋" w:hAnsi="仿宋" w:eastAsia="仿宋" w:cs="仿宋"/>
          <w:b/>
          <w:bCs/>
        </w:rPr>
        <w:t>第二篇</w:t>
      </w:r>
      <w:r>
        <w:rPr>
          <w:rStyle w:val="17"/>
          <w:rFonts w:ascii="仿宋" w:hAnsi="仿宋" w:eastAsia="仿宋" w:cs="仿宋"/>
          <w:b/>
          <w:bCs/>
        </w:rPr>
        <w:t xml:space="preserve">  </w:t>
      </w:r>
      <w:r>
        <w:rPr>
          <w:rStyle w:val="17"/>
          <w:rFonts w:hint="eastAsia" w:ascii="仿宋" w:hAnsi="仿宋" w:eastAsia="仿宋" w:cs="仿宋"/>
          <w:b/>
          <w:bCs/>
        </w:rPr>
        <w:t>供应商须知</w:t>
      </w:r>
      <w:r>
        <w:tab/>
      </w:r>
      <w:r>
        <w:fldChar w:fldCharType="begin"/>
      </w:r>
      <w:r>
        <w:instrText xml:space="preserve"> PAGEREF _Toc80882050 \h </w:instrText>
      </w:r>
      <w:r>
        <w:fldChar w:fldCharType="separate"/>
      </w:r>
      <w:r>
        <w:t>- 4 -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"_Toc80882051" </w:instrText>
      </w:r>
      <w:r>
        <w:fldChar w:fldCharType="separate"/>
      </w:r>
      <w:r>
        <w:rPr>
          <w:rStyle w:val="17"/>
          <w:rFonts w:hint="eastAsia" w:ascii="仿宋" w:hAnsi="仿宋" w:eastAsia="仿宋" w:cs="仿宋"/>
          <w:b/>
          <w:bCs/>
        </w:rPr>
        <w:t>一、磋商费用</w:t>
      </w:r>
      <w:r>
        <w:tab/>
      </w:r>
      <w:r>
        <w:fldChar w:fldCharType="begin"/>
      </w:r>
      <w:r>
        <w:instrText xml:space="preserve"> PAGEREF _Toc80882051 \h </w:instrText>
      </w:r>
      <w:r>
        <w:fldChar w:fldCharType="separate"/>
      </w:r>
      <w:r>
        <w:t>- 4 -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"_Toc80882052" </w:instrText>
      </w:r>
      <w:r>
        <w:fldChar w:fldCharType="separate"/>
      </w:r>
      <w:r>
        <w:rPr>
          <w:rStyle w:val="17"/>
          <w:rFonts w:hint="eastAsia" w:ascii="仿宋" w:hAnsi="仿宋" w:eastAsia="仿宋" w:cs="仿宋"/>
          <w:b/>
          <w:bCs/>
        </w:rPr>
        <w:t>二、竞争性磋商文件</w:t>
      </w:r>
      <w:r>
        <w:tab/>
      </w:r>
      <w:r>
        <w:fldChar w:fldCharType="begin"/>
      </w:r>
      <w:r>
        <w:instrText xml:space="preserve"> PAGEREF _Toc80882052 \h </w:instrText>
      </w:r>
      <w:r>
        <w:fldChar w:fldCharType="separate"/>
      </w:r>
      <w:r>
        <w:t>- 4 -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"_Toc80882053" </w:instrText>
      </w:r>
      <w:r>
        <w:fldChar w:fldCharType="separate"/>
      </w:r>
      <w:r>
        <w:rPr>
          <w:rStyle w:val="17"/>
          <w:rFonts w:hint="eastAsia" w:ascii="仿宋" w:hAnsi="仿宋" w:eastAsia="仿宋" w:cs="仿宋"/>
          <w:b/>
          <w:bCs/>
        </w:rPr>
        <w:t>三、磋商要求</w:t>
      </w:r>
      <w:r>
        <w:tab/>
      </w:r>
      <w:r>
        <w:fldChar w:fldCharType="begin"/>
      </w:r>
      <w:r>
        <w:instrText xml:space="preserve"> PAGEREF _Toc80882053 \h </w:instrText>
      </w:r>
      <w:r>
        <w:fldChar w:fldCharType="separate"/>
      </w:r>
      <w:r>
        <w:t>- 4 -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"_Toc80882054" </w:instrText>
      </w:r>
      <w:r>
        <w:fldChar w:fldCharType="separate"/>
      </w:r>
      <w:r>
        <w:rPr>
          <w:rStyle w:val="17"/>
          <w:rFonts w:hint="eastAsia" w:ascii="仿宋" w:hAnsi="仿宋" w:eastAsia="仿宋" w:cs="仿宋"/>
          <w:b/>
        </w:rPr>
        <w:t>四、响应文件编制要求</w:t>
      </w:r>
      <w:r>
        <w:tab/>
      </w:r>
      <w:r>
        <w:fldChar w:fldCharType="begin"/>
      </w:r>
      <w:r>
        <w:instrText xml:space="preserve"> PAGEREF _Toc80882054 \h </w:instrText>
      </w:r>
      <w:r>
        <w:fldChar w:fldCharType="separate"/>
      </w:r>
      <w:r>
        <w:t>- 4 -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"_Toc80882055" </w:instrText>
      </w:r>
      <w:r>
        <w:fldChar w:fldCharType="separate"/>
      </w:r>
      <w:r>
        <w:rPr>
          <w:rStyle w:val="17"/>
          <w:rFonts w:hint="eastAsia" w:ascii="仿宋" w:hAnsi="仿宋" w:eastAsia="仿宋" w:cs="仿宋"/>
          <w:b/>
        </w:rPr>
        <w:t>五、竞争性磋商评审活动程序</w:t>
      </w:r>
      <w:r>
        <w:tab/>
      </w:r>
      <w:r>
        <w:fldChar w:fldCharType="begin"/>
      </w:r>
      <w:r>
        <w:instrText xml:space="preserve"> PAGEREF _Toc80882055 \h </w:instrText>
      </w:r>
      <w:r>
        <w:fldChar w:fldCharType="separate"/>
      </w:r>
      <w:r>
        <w:t>- 6 -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"_Toc80882056" </w:instrText>
      </w:r>
      <w:r>
        <w:fldChar w:fldCharType="separate"/>
      </w:r>
      <w:r>
        <w:rPr>
          <w:rStyle w:val="17"/>
          <w:rFonts w:hint="eastAsia" w:ascii="仿宋" w:hAnsi="仿宋" w:eastAsia="仿宋" w:cs="仿宋"/>
          <w:b/>
        </w:rPr>
        <w:t>六、评审</w:t>
      </w:r>
      <w:r>
        <w:tab/>
      </w:r>
      <w:r>
        <w:fldChar w:fldCharType="begin"/>
      </w:r>
      <w:r>
        <w:instrText xml:space="preserve"> PAGEREF _Toc80882056 \h </w:instrText>
      </w:r>
      <w:r>
        <w:fldChar w:fldCharType="separate"/>
      </w:r>
      <w:r>
        <w:t>- 6 -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"_Toc80882057" </w:instrText>
      </w:r>
      <w:r>
        <w:fldChar w:fldCharType="separate"/>
      </w:r>
      <w:r>
        <w:rPr>
          <w:rStyle w:val="17"/>
          <w:rFonts w:hint="eastAsia" w:ascii="仿宋" w:hAnsi="仿宋" w:eastAsia="仿宋" w:cs="仿宋"/>
          <w:b/>
        </w:rPr>
        <w:t>七、确定成交供应商</w:t>
      </w:r>
      <w:r>
        <w:tab/>
      </w:r>
      <w:r>
        <w:fldChar w:fldCharType="begin"/>
      </w:r>
      <w:r>
        <w:instrText xml:space="preserve"> PAGEREF _Toc80882057 \h </w:instrText>
      </w:r>
      <w:r>
        <w:fldChar w:fldCharType="separate"/>
      </w:r>
      <w:r>
        <w:t>- 6 -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"_Toc80882058" </w:instrText>
      </w:r>
      <w:r>
        <w:fldChar w:fldCharType="separate"/>
      </w:r>
      <w:r>
        <w:rPr>
          <w:rStyle w:val="17"/>
          <w:rFonts w:hint="eastAsia" w:ascii="仿宋" w:hAnsi="仿宋" w:eastAsia="仿宋" w:cs="仿宋"/>
          <w:b/>
        </w:rPr>
        <w:t>八、成交通知书</w:t>
      </w:r>
      <w:r>
        <w:tab/>
      </w:r>
      <w:r>
        <w:fldChar w:fldCharType="begin"/>
      </w:r>
      <w:r>
        <w:instrText xml:space="preserve"> PAGEREF _Toc80882058 \h </w:instrText>
      </w:r>
      <w:r>
        <w:fldChar w:fldCharType="separate"/>
      </w:r>
      <w:r>
        <w:t>- 7 -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"_Toc80882059" </w:instrText>
      </w:r>
      <w:r>
        <w:fldChar w:fldCharType="separate"/>
      </w:r>
      <w:r>
        <w:rPr>
          <w:rStyle w:val="17"/>
          <w:rFonts w:hint="eastAsia" w:ascii="仿宋" w:hAnsi="仿宋" w:eastAsia="仿宋" w:cs="仿宋"/>
          <w:b/>
        </w:rPr>
        <w:t>九、供应商对评审结果的质疑、投诉</w:t>
      </w:r>
      <w:r>
        <w:tab/>
      </w:r>
      <w:r>
        <w:fldChar w:fldCharType="begin"/>
      </w:r>
      <w:r>
        <w:instrText xml:space="preserve"> PAGEREF _Toc80882059 \h </w:instrText>
      </w:r>
      <w:r>
        <w:fldChar w:fldCharType="separate"/>
      </w:r>
      <w:r>
        <w:t>- 7 -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"_Toc80882060" </w:instrText>
      </w:r>
      <w:r>
        <w:fldChar w:fldCharType="separate"/>
      </w:r>
      <w:r>
        <w:rPr>
          <w:rStyle w:val="17"/>
          <w:rFonts w:hint="eastAsia" w:ascii="仿宋" w:hAnsi="仿宋" w:eastAsia="仿宋" w:cs="仿宋"/>
          <w:b/>
        </w:rPr>
        <w:t>十、签订合同</w:t>
      </w:r>
      <w:r>
        <w:tab/>
      </w:r>
      <w:r>
        <w:fldChar w:fldCharType="begin"/>
      </w:r>
      <w:r>
        <w:instrText xml:space="preserve"> PAGEREF _Toc80882060 \h </w:instrText>
      </w:r>
      <w:r>
        <w:fldChar w:fldCharType="separate"/>
      </w:r>
      <w:r>
        <w:t>- 8 -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"_Toc80882061" </w:instrText>
      </w:r>
      <w:r>
        <w:fldChar w:fldCharType="separate"/>
      </w:r>
      <w:r>
        <w:rPr>
          <w:rStyle w:val="17"/>
          <w:rFonts w:hint="eastAsia" w:ascii="仿宋" w:hAnsi="仿宋" w:eastAsia="仿宋" w:cs="仿宋"/>
          <w:b/>
          <w:bCs/>
        </w:rPr>
        <w:t>第三篇 采购技术需求</w:t>
      </w:r>
      <w:r>
        <w:tab/>
      </w:r>
      <w:r>
        <w:fldChar w:fldCharType="begin"/>
      </w:r>
      <w:r>
        <w:instrText xml:space="preserve"> PAGEREF _Toc80882061 \h </w:instrText>
      </w:r>
      <w:r>
        <w:fldChar w:fldCharType="separate"/>
      </w:r>
      <w:r>
        <w:t>- 9 -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"_Toc80882062" </w:instrText>
      </w:r>
      <w:r>
        <w:fldChar w:fldCharType="separate"/>
      </w:r>
      <w:r>
        <w:rPr>
          <w:rStyle w:val="17"/>
          <w:rFonts w:hint="eastAsia" w:ascii="仿宋" w:hAnsi="仿宋" w:eastAsia="仿宋" w:cs="方正仿宋_GBK"/>
          <w:b/>
          <w:bCs/>
        </w:rPr>
        <w:t>一、 项目一览表</w:t>
      </w:r>
      <w:r>
        <w:tab/>
      </w:r>
      <w:r>
        <w:fldChar w:fldCharType="begin"/>
      </w:r>
      <w:r>
        <w:instrText xml:space="preserve"> PAGEREF _Toc80882062 \h </w:instrText>
      </w:r>
      <w:r>
        <w:fldChar w:fldCharType="separate"/>
      </w:r>
      <w:r>
        <w:t>- 9 -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"_Toc80882075" </w:instrText>
      </w:r>
      <w:r>
        <w:fldChar w:fldCharType="separate"/>
      </w:r>
      <w:r>
        <w:rPr>
          <w:rStyle w:val="17"/>
          <w:rFonts w:hint="eastAsia" w:ascii="仿宋" w:hAnsi="仿宋" w:eastAsia="仿宋" w:cs="方正仿宋_GBK"/>
          <w:b/>
          <w:bCs/>
        </w:rPr>
        <w:t>二、项目技术需求</w:t>
      </w:r>
      <w:r>
        <w:tab/>
      </w:r>
      <w:r>
        <w:fldChar w:fldCharType="begin"/>
      </w:r>
      <w:r>
        <w:instrText xml:space="preserve"> PAGEREF _Toc80882075 \h </w:instrText>
      </w:r>
      <w:r>
        <w:fldChar w:fldCharType="separate"/>
      </w:r>
      <w:r>
        <w:t>- 10 -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"_Toc80882078" </w:instrText>
      </w:r>
      <w:r>
        <w:fldChar w:fldCharType="separate"/>
      </w:r>
      <w:r>
        <w:rPr>
          <w:rStyle w:val="17"/>
          <w:rFonts w:hint="eastAsia" w:ascii="仿宋" w:hAnsi="仿宋" w:eastAsia="仿宋" w:cs="方正仿宋_GBK"/>
          <w:b/>
          <w:bCs/>
        </w:rPr>
        <w:t>三、现场踏勘及看台相关图纸</w:t>
      </w:r>
      <w:r>
        <w:tab/>
      </w:r>
      <w:r>
        <w:fldChar w:fldCharType="begin"/>
      </w:r>
      <w:r>
        <w:instrText xml:space="preserve"> PAGEREF _Toc80882078 \h </w:instrText>
      </w:r>
      <w:r>
        <w:fldChar w:fldCharType="separate"/>
      </w:r>
      <w:r>
        <w:t>- 11 -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"_Toc80882079" </w:instrText>
      </w:r>
      <w:r>
        <w:fldChar w:fldCharType="separate"/>
      </w:r>
      <w:r>
        <w:rPr>
          <w:rStyle w:val="17"/>
          <w:rFonts w:hint="eastAsia" w:ascii="仿宋" w:hAnsi="仿宋" w:eastAsia="仿宋" w:cs="方正仿宋_GBK"/>
          <w:b/>
          <w:bCs/>
        </w:rPr>
        <w:t>四、其他要求</w:t>
      </w:r>
      <w:r>
        <w:tab/>
      </w:r>
      <w:r>
        <w:fldChar w:fldCharType="begin"/>
      </w:r>
      <w:r>
        <w:instrText xml:space="preserve"> PAGEREF _Toc80882079 \h </w:instrText>
      </w:r>
      <w:r>
        <w:fldChar w:fldCharType="separate"/>
      </w:r>
      <w:r>
        <w:t>- 11 -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"_Toc80882080" </w:instrText>
      </w:r>
      <w:r>
        <w:fldChar w:fldCharType="separate"/>
      </w:r>
      <w:r>
        <w:rPr>
          <w:rStyle w:val="17"/>
          <w:rFonts w:hint="eastAsia" w:ascii="仿宋" w:hAnsi="仿宋" w:eastAsia="仿宋" w:cs="仿宋"/>
          <w:b/>
          <w:bCs/>
        </w:rPr>
        <w:t>第四篇</w:t>
      </w:r>
      <w:r>
        <w:rPr>
          <w:rStyle w:val="17"/>
          <w:rFonts w:ascii="仿宋" w:hAnsi="仿宋" w:eastAsia="仿宋" w:cs="仿宋"/>
          <w:b/>
          <w:bCs/>
        </w:rPr>
        <w:t xml:space="preserve">  </w:t>
      </w:r>
      <w:r>
        <w:rPr>
          <w:rStyle w:val="17"/>
          <w:rFonts w:hint="eastAsia" w:ascii="仿宋" w:hAnsi="仿宋" w:eastAsia="仿宋" w:cs="仿宋"/>
          <w:b/>
          <w:bCs/>
        </w:rPr>
        <w:t>采购商务需求</w:t>
      </w:r>
      <w:r>
        <w:tab/>
      </w:r>
      <w:r>
        <w:fldChar w:fldCharType="begin"/>
      </w:r>
      <w:r>
        <w:instrText xml:space="preserve"> PAGEREF _Toc80882080 \h </w:instrText>
      </w:r>
      <w:r>
        <w:fldChar w:fldCharType="separate"/>
      </w:r>
      <w:r>
        <w:t>- 12 -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"_Toc80882081" </w:instrText>
      </w:r>
      <w:r>
        <w:fldChar w:fldCharType="separate"/>
      </w:r>
      <w:r>
        <w:rPr>
          <w:rStyle w:val="17"/>
          <w:rFonts w:hint="eastAsia" w:ascii="仿宋" w:hAnsi="仿宋" w:eastAsia="仿宋" w:cs="方正仿宋_GBK"/>
          <w:b/>
          <w:bCs/>
        </w:rPr>
        <w:t>一、实施（交货）时间、地点及验收方式</w:t>
      </w:r>
      <w:r>
        <w:tab/>
      </w:r>
      <w:r>
        <w:fldChar w:fldCharType="begin"/>
      </w:r>
      <w:r>
        <w:instrText xml:space="preserve"> PAGEREF _Toc80882081 \h </w:instrText>
      </w:r>
      <w:r>
        <w:fldChar w:fldCharType="separate"/>
      </w:r>
      <w:r>
        <w:t>- 12 -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"_Toc80882082" </w:instrText>
      </w:r>
      <w:r>
        <w:fldChar w:fldCharType="separate"/>
      </w:r>
      <w:r>
        <w:rPr>
          <w:rStyle w:val="17"/>
          <w:rFonts w:hint="eastAsia" w:ascii="仿宋" w:hAnsi="仿宋" w:eastAsia="仿宋" w:cs="仿宋"/>
          <w:b/>
        </w:rPr>
        <w:t>二、报价要求</w:t>
      </w:r>
      <w:r>
        <w:tab/>
      </w:r>
      <w:r>
        <w:fldChar w:fldCharType="begin"/>
      </w:r>
      <w:r>
        <w:instrText xml:space="preserve"> PAGEREF _Toc80882082 \h </w:instrText>
      </w:r>
      <w:r>
        <w:fldChar w:fldCharType="separate"/>
      </w:r>
      <w:r>
        <w:t>- 12 -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"_Toc80882083" </w:instrText>
      </w:r>
      <w:r>
        <w:fldChar w:fldCharType="separate"/>
      </w:r>
      <w:r>
        <w:rPr>
          <w:rStyle w:val="17"/>
          <w:rFonts w:hint="eastAsia" w:ascii="仿宋" w:hAnsi="仿宋" w:eastAsia="仿宋" w:cs="仿宋"/>
          <w:b/>
        </w:rPr>
        <w:t>三、服务质量要求</w:t>
      </w:r>
      <w:r>
        <w:tab/>
      </w:r>
      <w:r>
        <w:fldChar w:fldCharType="begin"/>
      </w:r>
      <w:r>
        <w:instrText xml:space="preserve"> PAGEREF _Toc80882083 \h </w:instrText>
      </w:r>
      <w:r>
        <w:fldChar w:fldCharType="separate"/>
      </w:r>
      <w:r>
        <w:t>- 12 -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"_Toc80882084" </w:instrText>
      </w:r>
      <w:r>
        <w:fldChar w:fldCharType="separate"/>
      </w:r>
      <w:r>
        <w:rPr>
          <w:rStyle w:val="17"/>
          <w:rFonts w:hint="eastAsia" w:ascii="仿宋" w:hAnsi="仿宋" w:eastAsia="仿宋" w:cs="仿宋"/>
          <w:b/>
        </w:rPr>
        <w:t>四、付款方式</w:t>
      </w:r>
      <w:r>
        <w:tab/>
      </w:r>
      <w:r>
        <w:fldChar w:fldCharType="begin"/>
      </w:r>
      <w:r>
        <w:instrText xml:space="preserve"> PAGEREF _Toc80882084 \h </w:instrText>
      </w:r>
      <w:r>
        <w:fldChar w:fldCharType="separate"/>
      </w:r>
      <w:r>
        <w:t>- 13 -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"_Toc80882085" </w:instrText>
      </w:r>
      <w:r>
        <w:fldChar w:fldCharType="separate"/>
      </w:r>
      <w:r>
        <w:rPr>
          <w:rStyle w:val="17"/>
          <w:rFonts w:hint="eastAsia" w:ascii="仿宋" w:hAnsi="仿宋" w:eastAsia="仿宋" w:cs="仿宋"/>
        </w:rPr>
        <w:t>五、知识产权</w:t>
      </w:r>
      <w:r>
        <w:tab/>
      </w:r>
      <w:r>
        <w:fldChar w:fldCharType="begin"/>
      </w:r>
      <w:r>
        <w:instrText xml:space="preserve"> PAGEREF _Toc80882085 \h </w:instrText>
      </w:r>
      <w:r>
        <w:fldChar w:fldCharType="separate"/>
      </w:r>
      <w:r>
        <w:t>- 13 -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"_Toc80882086" </w:instrText>
      </w:r>
      <w:r>
        <w:fldChar w:fldCharType="separate"/>
      </w:r>
      <w:r>
        <w:rPr>
          <w:rStyle w:val="17"/>
          <w:rFonts w:hint="eastAsia" w:ascii="仿宋" w:hAnsi="仿宋" w:eastAsia="仿宋" w:cs="仿宋"/>
          <w:b/>
        </w:rPr>
        <w:t>六、培训</w:t>
      </w:r>
      <w:r>
        <w:tab/>
      </w:r>
      <w:r>
        <w:fldChar w:fldCharType="begin"/>
      </w:r>
      <w:r>
        <w:instrText xml:space="preserve"> PAGEREF _Toc80882086 \h </w:instrText>
      </w:r>
      <w:r>
        <w:fldChar w:fldCharType="separate"/>
      </w:r>
      <w:r>
        <w:t>- 13 -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"_Toc80882087" </w:instrText>
      </w:r>
      <w:r>
        <w:fldChar w:fldCharType="separate"/>
      </w:r>
      <w:r>
        <w:rPr>
          <w:rStyle w:val="17"/>
          <w:rFonts w:hint="eastAsia" w:ascii="仿宋" w:hAnsi="仿宋" w:eastAsia="仿宋" w:cs="仿宋"/>
          <w:bCs/>
        </w:rPr>
        <w:t>七、附件、图纸及包装要求</w:t>
      </w:r>
      <w:r>
        <w:tab/>
      </w:r>
      <w:r>
        <w:fldChar w:fldCharType="begin"/>
      </w:r>
      <w:r>
        <w:instrText xml:space="preserve"> PAGEREF _Toc80882087 \h </w:instrText>
      </w:r>
      <w:r>
        <w:fldChar w:fldCharType="separate"/>
      </w:r>
      <w:r>
        <w:t>- 14 -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"_Toc80882088" </w:instrText>
      </w:r>
      <w:r>
        <w:fldChar w:fldCharType="separate"/>
      </w:r>
      <w:r>
        <w:rPr>
          <w:rStyle w:val="17"/>
          <w:rFonts w:hint="eastAsia" w:ascii="仿宋" w:hAnsi="仿宋" w:eastAsia="仿宋" w:cs="仿宋"/>
          <w:bCs/>
        </w:rPr>
        <w:t>八、</w:t>
      </w:r>
      <w:r>
        <w:rPr>
          <w:rStyle w:val="17"/>
          <w:rFonts w:hint="eastAsia" w:ascii="仿宋" w:hAnsi="仿宋" w:eastAsia="仿宋" w:cs="仿宋"/>
        </w:rPr>
        <w:t>其他</w:t>
      </w:r>
      <w:r>
        <w:tab/>
      </w:r>
      <w:r>
        <w:fldChar w:fldCharType="begin"/>
      </w:r>
      <w:r>
        <w:instrText xml:space="preserve"> PAGEREF _Toc80882088 \h </w:instrText>
      </w:r>
      <w:r>
        <w:fldChar w:fldCharType="separate"/>
      </w:r>
      <w:r>
        <w:t>- 14 -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"_Toc80882089" </w:instrText>
      </w:r>
      <w:r>
        <w:fldChar w:fldCharType="separate"/>
      </w:r>
      <w:r>
        <w:rPr>
          <w:rStyle w:val="17"/>
          <w:rFonts w:hint="eastAsia" w:ascii="仿宋" w:hAnsi="仿宋" w:eastAsia="仿宋" w:cs="仿宋"/>
          <w:b/>
          <w:bCs/>
        </w:rPr>
        <w:t>第五篇</w:t>
      </w:r>
      <w:r>
        <w:rPr>
          <w:rStyle w:val="17"/>
          <w:rFonts w:ascii="仿宋" w:hAnsi="仿宋" w:eastAsia="仿宋" w:cs="仿宋"/>
          <w:b/>
          <w:bCs/>
        </w:rPr>
        <w:t xml:space="preserve">  </w:t>
      </w:r>
      <w:r>
        <w:rPr>
          <w:rStyle w:val="17"/>
          <w:rFonts w:hint="eastAsia" w:ascii="仿宋" w:hAnsi="仿宋" w:eastAsia="仿宋" w:cs="仿宋"/>
          <w:b/>
          <w:bCs/>
        </w:rPr>
        <w:t>磋商程序及方法、评审标准、无效响应和采购终止</w:t>
      </w:r>
      <w:r>
        <w:tab/>
      </w:r>
      <w:r>
        <w:fldChar w:fldCharType="begin"/>
      </w:r>
      <w:r>
        <w:instrText xml:space="preserve"> PAGEREF _Toc80882089 \h </w:instrText>
      </w:r>
      <w:r>
        <w:fldChar w:fldCharType="separate"/>
      </w:r>
      <w:r>
        <w:t>- 15 -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"_Toc80882090" </w:instrText>
      </w:r>
      <w:r>
        <w:fldChar w:fldCharType="separate"/>
      </w:r>
      <w:r>
        <w:rPr>
          <w:rStyle w:val="17"/>
          <w:rFonts w:hint="eastAsia" w:ascii="仿宋" w:hAnsi="仿宋" w:eastAsia="仿宋" w:cs="仿宋"/>
          <w:b/>
          <w:bCs/>
        </w:rPr>
        <w:t>一、磋商程序及方法</w:t>
      </w:r>
      <w:r>
        <w:tab/>
      </w:r>
      <w:r>
        <w:fldChar w:fldCharType="begin"/>
      </w:r>
      <w:r>
        <w:instrText xml:space="preserve"> PAGEREF _Toc80882090 \h </w:instrText>
      </w:r>
      <w:r>
        <w:fldChar w:fldCharType="separate"/>
      </w:r>
      <w:r>
        <w:t>- 15 -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"_Toc80882091" </w:instrText>
      </w:r>
      <w:r>
        <w:fldChar w:fldCharType="separate"/>
      </w:r>
      <w:r>
        <w:rPr>
          <w:rStyle w:val="17"/>
          <w:rFonts w:hint="eastAsia" w:ascii="仿宋" w:hAnsi="仿宋" w:eastAsia="仿宋" w:cs="仿宋"/>
          <w:b/>
          <w:bCs/>
        </w:rPr>
        <w:t>二、评审标准</w:t>
      </w:r>
      <w:r>
        <w:tab/>
      </w:r>
      <w:r>
        <w:fldChar w:fldCharType="begin"/>
      </w:r>
      <w:r>
        <w:instrText xml:space="preserve"> PAGEREF _Toc80882091 \h </w:instrText>
      </w:r>
      <w:r>
        <w:fldChar w:fldCharType="separate"/>
      </w:r>
      <w:r>
        <w:t>- 18 -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"_Toc80882092" </w:instrText>
      </w:r>
      <w:r>
        <w:fldChar w:fldCharType="separate"/>
      </w:r>
      <w:r>
        <w:rPr>
          <w:rStyle w:val="17"/>
          <w:rFonts w:hint="eastAsia" w:ascii="仿宋" w:hAnsi="仿宋" w:eastAsia="仿宋" w:cs="仿宋"/>
          <w:b/>
          <w:bCs/>
        </w:rPr>
        <w:t>三、无效响应</w:t>
      </w:r>
      <w:r>
        <w:tab/>
      </w:r>
      <w:r>
        <w:fldChar w:fldCharType="begin"/>
      </w:r>
      <w:r>
        <w:instrText xml:space="preserve"> PAGEREF _Toc80882092 \h </w:instrText>
      </w:r>
      <w:r>
        <w:fldChar w:fldCharType="separate"/>
      </w:r>
      <w:r>
        <w:t>- 20 -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"_Toc80882093" </w:instrText>
      </w:r>
      <w:r>
        <w:fldChar w:fldCharType="separate"/>
      </w:r>
      <w:r>
        <w:rPr>
          <w:rStyle w:val="17"/>
          <w:rFonts w:hint="eastAsia" w:ascii="仿宋" w:hAnsi="仿宋" w:eastAsia="仿宋" w:cs="仿宋"/>
          <w:b/>
          <w:bCs/>
        </w:rPr>
        <w:t>四、采购终止</w:t>
      </w:r>
      <w:r>
        <w:tab/>
      </w:r>
      <w:r>
        <w:fldChar w:fldCharType="begin"/>
      </w:r>
      <w:r>
        <w:instrText xml:space="preserve"> PAGEREF _Toc80882093 \h </w:instrText>
      </w:r>
      <w:r>
        <w:fldChar w:fldCharType="separate"/>
      </w:r>
      <w:r>
        <w:t>- 20 -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"_Toc80882094" </w:instrText>
      </w:r>
      <w:r>
        <w:fldChar w:fldCharType="separate"/>
      </w:r>
      <w:r>
        <w:rPr>
          <w:rStyle w:val="17"/>
          <w:rFonts w:hint="eastAsia" w:ascii="仿宋" w:hAnsi="仿宋" w:eastAsia="仿宋" w:cs="仿宋"/>
          <w:b/>
        </w:rPr>
        <w:t>第六篇</w:t>
      </w:r>
      <w:r>
        <w:rPr>
          <w:rStyle w:val="17"/>
          <w:rFonts w:ascii="仿宋" w:hAnsi="仿宋" w:eastAsia="仿宋" w:cs="仿宋"/>
          <w:b/>
        </w:rPr>
        <w:t xml:space="preserve">  </w:t>
      </w:r>
      <w:r>
        <w:rPr>
          <w:rStyle w:val="17"/>
          <w:rFonts w:hint="eastAsia" w:ascii="仿宋" w:hAnsi="仿宋" w:eastAsia="仿宋" w:cs="仿宋"/>
          <w:b/>
        </w:rPr>
        <w:t>合同主要条款</w:t>
      </w:r>
      <w:r>
        <w:tab/>
      </w:r>
      <w:r>
        <w:fldChar w:fldCharType="begin"/>
      </w:r>
      <w:r>
        <w:instrText xml:space="preserve"> PAGEREF _Toc80882094 \h </w:instrText>
      </w:r>
      <w:r>
        <w:fldChar w:fldCharType="separate"/>
      </w:r>
      <w:r>
        <w:t>- 21 -</w:t>
      </w:r>
      <w:r>
        <w:fldChar w:fldCharType="end"/>
      </w:r>
      <w:r>
        <w:fldChar w:fldCharType="end"/>
      </w:r>
    </w:p>
    <w:p>
      <w:pPr>
        <w:pStyle w:val="13"/>
        <w:tabs>
          <w:tab w:val="right" w:leader="dot" w:pos="9402"/>
        </w:tabs>
        <w:rPr>
          <w:rFonts w:asciiTheme="minorHAnsi" w:hAnsiTheme="minorHAnsi" w:eastAsiaTheme="minorEastAsia" w:cstheme="minorBidi"/>
          <w:sz w:val="21"/>
          <w:szCs w:val="22"/>
        </w:rPr>
      </w:pPr>
      <w:r>
        <w:fldChar w:fldCharType="begin"/>
      </w:r>
      <w:r>
        <w:instrText xml:space="preserve"> HYPERLINK \l "_Toc80882095" </w:instrText>
      </w:r>
      <w:r>
        <w:fldChar w:fldCharType="separate"/>
      </w:r>
      <w:r>
        <w:rPr>
          <w:rStyle w:val="17"/>
          <w:rFonts w:hint="eastAsia" w:ascii="仿宋" w:hAnsi="仿宋" w:eastAsia="仿宋" w:cs="仿宋"/>
          <w:b/>
          <w:bCs/>
        </w:rPr>
        <w:t>第七篇</w:t>
      </w:r>
      <w:r>
        <w:rPr>
          <w:rStyle w:val="17"/>
          <w:rFonts w:ascii="仿宋" w:hAnsi="仿宋" w:eastAsia="仿宋" w:cs="仿宋"/>
          <w:b/>
          <w:bCs/>
        </w:rPr>
        <w:t xml:space="preserve">  </w:t>
      </w:r>
      <w:r>
        <w:rPr>
          <w:rStyle w:val="17"/>
          <w:rFonts w:hint="eastAsia" w:ascii="仿宋" w:hAnsi="仿宋" w:eastAsia="仿宋" w:cs="仿宋"/>
          <w:b/>
          <w:bCs/>
        </w:rPr>
        <w:t>响应文件编制要求</w:t>
      </w:r>
      <w:r>
        <w:tab/>
      </w:r>
      <w:r>
        <w:fldChar w:fldCharType="begin"/>
      </w:r>
      <w:r>
        <w:instrText xml:space="preserve"> PAGEREF _Toc80882095 \h </w:instrText>
      </w:r>
      <w:r>
        <w:fldChar w:fldCharType="separate"/>
      </w:r>
      <w:r>
        <w:t>- 23 -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"_Toc80882096" </w:instrText>
      </w:r>
      <w:r>
        <w:fldChar w:fldCharType="separate"/>
      </w:r>
      <w:r>
        <w:rPr>
          <w:rStyle w:val="17"/>
          <w:rFonts w:hint="eastAsia" w:ascii="仿宋" w:hAnsi="仿宋" w:eastAsia="仿宋" w:cs="宋体"/>
          <w:b/>
        </w:rPr>
        <w:t>响应文件格式要求（本篇所有格式要求将逐一检查，如一项不符，投标文件将被拒绝）</w:t>
      </w:r>
      <w:r>
        <w:tab/>
      </w:r>
      <w:r>
        <w:fldChar w:fldCharType="begin"/>
      </w:r>
      <w:r>
        <w:instrText xml:space="preserve"> PAGEREF _Toc80882096 \h </w:instrText>
      </w:r>
      <w:r>
        <w:fldChar w:fldCharType="separate"/>
      </w:r>
      <w:r>
        <w:t>- 23 -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"_Toc80882097" </w:instrText>
      </w:r>
      <w:r>
        <w:fldChar w:fldCharType="separate"/>
      </w:r>
      <w:r>
        <w:rPr>
          <w:rStyle w:val="17"/>
          <w:rFonts w:hint="eastAsia" w:ascii="仿宋" w:hAnsi="仿宋" w:eastAsia="仿宋" w:cs="宋体"/>
          <w:b/>
        </w:rPr>
        <w:t>响应文件规定格式部分</w:t>
      </w:r>
      <w:r>
        <w:tab/>
      </w:r>
      <w:r>
        <w:fldChar w:fldCharType="begin"/>
      </w:r>
      <w:r>
        <w:instrText xml:space="preserve"> PAGEREF _Toc80882097 \h </w:instrText>
      </w:r>
      <w:r>
        <w:fldChar w:fldCharType="separate"/>
      </w:r>
      <w:r>
        <w:t>- 23 -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"_Toc80882098" </w:instrText>
      </w:r>
      <w:r>
        <w:fldChar w:fldCharType="separate"/>
      </w:r>
      <w:r>
        <w:rPr>
          <w:rStyle w:val="17"/>
          <w:rFonts w:hint="eastAsia" w:ascii="仿宋" w:hAnsi="仿宋" w:eastAsia="仿宋" w:cs="仿宋"/>
          <w:b/>
        </w:rPr>
        <w:t>一、经济部分</w:t>
      </w:r>
      <w:r>
        <w:tab/>
      </w:r>
      <w:r>
        <w:fldChar w:fldCharType="begin"/>
      </w:r>
      <w:r>
        <w:instrText xml:space="preserve"> PAGEREF _Toc80882098 \h </w:instrText>
      </w:r>
      <w:r>
        <w:fldChar w:fldCharType="separate"/>
      </w:r>
      <w:r>
        <w:t>- 25 -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"_Toc80882099" </w:instrText>
      </w:r>
      <w:r>
        <w:fldChar w:fldCharType="separate"/>
      </w:r>
      <w:r>
        <w:rPr>
          <w:rStyle w:val="17"/>
          <w:rFonts w:hint="eastAsia" w:ascii="仿宋" w:hAnsi="仿宋" w:eastAsia="仿宋" w:cs="仿宋"/>
          <w:b/>
          <w:bCs/>
          <w:kern w:val="0"/>
        </w:rPr>
        <w:t>二、技术部分</w:t>
      </w:r>
      <w:r>
        <w:tab/>
      </w:r>
      <w:r>
        <w:fldChar w:fldCharType="begin"/>
      </w:r>
      <w:r>
        <w:instrText xml:space="preserve"> PAGEREF _Toc80882099 \h </w:instrText>
      </w:r>
      <w:r>
        <w:fldChar w:fldCharType="separate"/>
      </w:r>
      <w:r>
        <w:t>- 27 -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"_Toc80882100" </w:instrText>
      </w:r>
      <w:r>
        <w:fldChar w:fldCharType="separate"/>
      </w:r>
      <w:r>
        <w:rPr>
          <w:rStyle w:val="17"/>
          <w:rFonts w:hint="eastAsia" w:ascii="仿宋" w:hAnsi="仿宋" w:eastAsia="仿宋" w:cs="仿宋"/>
          <w:b/>
        </w:rPr>
        <w:t>三、服务部分</w:t>
      </w:r>
      <w:r>
        <w:tab/>
      </w:r>
      <w:r>
        <w:fldChar w:fldCharType="begin"/>
      </w:r>
      <w:r>
        <w:instrText xml:space="preserve"> PAGEREF _Toc80882100 \h </w:instrText>
      </w:r>
      <w:r>
        <w:fldChar w:fldCharType="separate"/>
      </w:r>
      <w:r>
        <w:t>- 30 -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"_Toc80882101" </w:instrText>
      </w:r>
      <w:r>
        <w:fldChar w:fldCharType="separate"/>
      </w:r>
      <w:r>
        <w:rPr>
          <w:rStyle w:val="17"/>
          <w:rFonts w:hint="eastAsia" w:ascii="仿宋" w:hAnsi="仿宋" w:eastAsia="仿宋" w:cs="仿宋"/>
          <w:b/>
        </w:rPr>
        <w:t>四、资格条件</w:t>
      </w:r>
      <w:r>
        <w:rPr>
          <w:rStyle w:val="17"/>
          <w:rFonts w:ascii="仿宋" w:hAnsi="仿宋" w:eastAsia="仿宋" w:cs="仿宋"/>
          <w:b/>
          <w:bCs/>
        </w:rPr>
        <w:t>(</w:t>
      </w:r>
      <w:r>
        <w:rPr>
          <w:rStyle w:val="17"/>
          <w:rFonts w:hint="eastAsia" w:ascii="仿宋" w:hAnsi="仿宋" w:eastAsia="仿宋" w:cs="仿宋"/>
          <w:b/>
          <w:bCs/>
        </w:rPr>
        <w:t>单独装订，一式三份</w:t>
      </w:r>
      <w:r>
        <w:rPr>
          <w:rStyle w:val="17"/>
          <w:rFonts w:ascii="仿宋" w:hAnsi="仿宋" w:eastAsia="仿宋" w:cs="仿宋"/>
          <w:b/>
          <w:bCs/>
        </w:rPr>
        <w:t>)</w:t>
      </w:r>
      <w:r>
        <w:tab/>
      </w:r>
      <w:r>
        <w:fldChar w:fldCharType="begin"/>
      </w:r>
      <w:r>
        <w:instrText xml:space="preserve"> PAGEREF _Toc80882101 \h </w:instrText>
      </w:r>
      <w:r>
        <w:fldChar w:fldCharType="separate"/>
      </w:r>
      <w:r>
        <w:t>- 32 -</w:t>
      </w:r>
      <w:r>
        <w:fldChar w:fldCharType="end"/>
      </w:r>
      <w:r>
        <w:fldChar w:fldCharType="end"/>
      </w:r>
    </w:p>
    <w:p>
      <w:pPr>
        <w:pStyle w:val="14"/>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"_Toc80882102" </w:instrText>
      </w:r>
      <w:r>
        <w:fldChar w:fldCharType="separate"/>
      </w:r>
      <w:r>
        <w:rPr>
          <w:rStyle w:val="17"/>
          <w:rFonts w:hint="eastAsia" w:ascii="仿宋" w:hAnsi="仿宋" w:eastAsia="仿宋" w:cs="仿宋"/>
          <w:b/>
        </w:rPr>
        <w:t>五、其他应提供的资料</w:t>
      </w:r>
      <w:r>
        <w:tab/>
      </w:r>
      <w:r>
        <w:fldChar w:fldCharType="begin"/>
      </w:r>
      <w:r>
        <w:instrText xml:space="preserve"> PAGEREF _Toc80882102 \h </w:instrText>
      </w:r>
      <w:r>
        <w:fldChar w:fldCharType="separate"/>
      </w:r>
      <w:r>
        <w:t>- 40 -</w:t>
      </w:r>
      <w:r>
        <w:fldChar w:fldCharType="end"/>
      </w:r>
      <w:r>
        <w:fldChar w:fldCharType="end"/>
      </w:r>
    </w:p>
    <w:p>
      <w:pPr>
        <w:pStyle w:val="14"/>
        <w:tabs>
          <w:tab w:val="right" w:leader="dot" w:pos="9402"/>
        </w:tabs>
        <w:ind w:left="560"/>
        <w:rPr>
          <w:rFonts w:ascii="仿宋" w:hAnsi="仿宋" w:eastAsia="仿宋" w:cs="仿宋"/>
        </w:rPr>
        <w:sectPr>
          <w:footerReference r:id="rId3" w:type="default"/>
          <w:pgSz w:w="11907" w:h="16840"/>
          <w:pgMar w:top="1134" w:right="1191" w:bottom="1134" w:left="1304" w:header="964" w:footer="992" w:gutter="0"/>
          <w:pgNumType w:fmt="numberInDash" w:start="1"/>
          <w:cols w:space="720" w:num="1"/>
        </w:sectPr>
      </w:pPr>
      <w:r>
        <w:rPr>
          <w:rFonts w:hint="eastAsia" w:ascii="仿宋" w:hAnsi="仿宋" w:eastAsia="仿宋" w:cs="仿宋"/>
        </w:rPr>
        <w:fldChar w:fldCharType="end"/>
      </w:r>
    </w:p>
    <w:p/>
    <w:p>
      <w:pPr>
        <w:pStyle w:val="14"/>
        <w:tabs>
          <w:tab w:val="right" w:leader="dot" w:pos="9402"/>
        </w:tabs>
        <w:ind w:left="560"/>
        <w:jc w:val="center"/>
        <w:outlineLvl w:val="0"/>
        <w:rPr>
          <w:rFonts w:ascii="仿宋" w:hAnsi="仿宋" w:eastAsia="仿宋" w:cs="仿宋"/>
          <w:b/>
          <w:bCs/>
          <w:sz w:val="36"/>
          <w:szCs w:val="30"/>
        </w:rPr>
      </w:pPr>
      <w:bookmarkStart w:id="4" w:name="_Toc80882041"/>
      <w:r>
        <w:rPr>
          <w:rFonts w:hint="eastAsia" w:ascii="仿宋" w:hAnsi="仿宋" w:eastAsia="仿宋" w:cs="仿宋"/>
          <w:b/>
          <w:bCs/>
          <w:sz w:val="36"/>
          <w:szCs w:val="30"/>
        </w:rPr>
        <w:t>第一篇  竞争性邀请书</w:t>
      </w:r>
      <w:bookmarkEnd w:id="2"/>
      <w:bookmarkEnd w:id="3"/>
      <w:bookmarkEnd w:id="4"/>
    </w:p>
    <w:p>
      <w:pPr>
        <w:snapToGrid w:val="0"/>
        <w:spacing w:line="400" w:lineRule="exact"/>
        <w:ind w:firstLine="480" w:firstLineChars="200"/>
        <w:rPr>
          <w:rFonts w:ascii="仿宋" w:hAnsi="仿宋" w:eastAsia="仿宋"/>
          <w:sz w:val="24"/>
          <w:szCs w:val="24"/>
          <w:u w:val="single"/>
        </w:rPr>
      </w:pPr>
      <w:r>
        <w:rPr>
          <w:rFonts w:hint="eastAsia" w:ascii="仿宋" w:hAnsi="仿宋" w:eastAsia="仿宋"/>
          <w:sz w:val="24"/>
          <w:szCs w:val="24"/>
        </w:rPr>
        <w:t>本招标项目为</w:t>
      </w:r>
      <w:r>
        <w:rPr>
          <w:rFonts w:hint="eastAsia" w:ascii="仿宋" w:hAnsi="仿宋" w:eastAsia="仿宋"/>
          <w:sz w:val="24"/>
          <w:szCs w:val="24"/>
          <w:u w:val="single"/>
        </w:rPr>
        <w:t>重庆化工职业学院长寿校区田径场主席台会标屏及看台标识字制作安装项目，</w:t>
      </w:r>
      <w:r>
        <w:rPr>
          <w:rFonts w:hint="eastAsia" w:ascii="仿宋" w:hAnsi="仿宋" w:eastAsia="仿宋"/>
          <w:sz w:val="24"/>
          <w:szCs w:val="24"/>
        </w:rPr>
        <w:t>现对该项目进行竞争性磋商采购，采购编号：CQHGZYXY-202130</w:t>
      </w:r>
      <w:r>
        <w:rPr>
          <w:rFonts w:hint="eastAsia" w:ascii="仿宋" w:hAnsi="仿宋" w:eastAsia="仿宋"/>
          <w:color w:val="000000"/>
          <w:sz w:val="24"/>
          <w:szCs w:val="24"/>
        </w:rPr>
        <w:t>。</w:t>
      </w:r>
      <w:r>
        <w:rPr>
          <w:rFonts w:hint="eastAsia" w:ascii="仿宋" w:hAnsi="仿宋" w:eastAsia="仿宋"/>
          <w:sz w:val="24"/>
          <w:szCs w:val="24"/>
        </w:rPr>
        <w:t>欢迎有资格的供应商前来参加磋商。</w:t>
      </w:r>
    </w:p>
    <w:p>
      <w:pPr>
        <w:spacing w:line="400" w:lineRule="exact"/>
        <w:outlineLvl w:val="1"/>
        <w:rPr>
          <w:rFonts w:ascii="仿宋" w:hAnsi="仿宋" w:eastAsia="仿宋" w:cs="仿宋"/>
          <w:b/>
          <w:bCs/>
          <w:sz w:val="24"/>
          <w:szCs w:val="24"/>
        </w:rPr>
      </w:pPr>
      <w:bookmarkStart w:id="5" w:name="_Toc317775175"/>
      <w:bookmarkStart w:id="6" w:name="_Toc80882042"/>
      <w:bookmarkStart w:id="7" w:name="_Toc313893526"/>
      <w:r>
        <w:rPr>
          <w:rFonts w:hint="eastAsia" w:ascii="仿宋" w:hAnsi="仿宋" w:eastAsia="仿宋" w:cs="仿宋"/>
          <w:b/>
          <w:bCs/>
          <w:sz w:val="24"/>
          <w:szCs w:val="24"/>
        </w:rPr>
        <w:t>一、竞争性磋商内容</w:t>
      </w:r>
      <w:bookmarkEnd w:id="5"/>
      <w:bookmarkEnd w:id="6"/>
      <w:bookmarkEnd w:id="7"/>
    </w:p>
    <w:tbl>
      <w:tblPr>
        <w:tblStyle w:val="15"/>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1755"/>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33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项目名称</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预算金额</w:t>
            </w:r>
          </w:p>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磋商保证金</w:t>
            </w:r>
          </w:p>
          <w:p>
            <w:pPr>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30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szCs w:val="24"/>
              </w:rPr>
            </w:pPr>
            <w:bookmarkStart w:id="8" w:name="_Hlk344477914"/>
            <w:r>
              <w:rPr>
                <w:rFonts w:hint="eastAsia" w:ascii="仿宋" w:hAnsi="仿宋" w:eastAsia="仿宋"/>
                <w:sz w:val="24"/>
                <w:szCs w:val="24"/>
              </w:rPr>
              <w:t>长寿校区田径场主席台会标屏及看台标识字制作安装</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kern w:val="0"/>
                <w:sz w:val="24"/>
                <w:szCs w:val="24"/>
              </w:rPr>
            </w:pPr>
            <w:r>
              <w:rPr>
                <w:rFonts w:ascii="仿宋" w:hAnsi="仿宋" w:eastAsia="仿宋" w:cs="仿宋"/>
                <w:kern w:val="0"/>
                <w:sz w:val="24"/>
                <w:szCs w:val="24"/>
              </w:rPr>
              <w:t>21</w:t>
            </w:r>
            <w:r>
              <w:rPr>
                <w:rFonts w:hint="eastAsia" w:ascii="仿宋" w:hAnsi="仿宋" w:eastAsia="仿宋" w:cs="仿宋"/>
                <w:kern w:val="0"/>
                <w:sz w:val="24"/>
                <w:szCs w:val="24"/>
              </w:rPr>
              <w:t>.50</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0.2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不接受联合体投标</w:t>
            </w:r>
          </w:p>
        </w:tc>
      </w:tr>
      <w:bookmarkEnd w:id="8"/>
    </w:tbl>
    <w:p>
      <w:pPr>
        <w:spacing w:line="400" w:lineRule="exact"/>
        <w:outlineLvl w:val="1"/>
        <w:rPr>
          <w:rFonts w:ascii="仿宋" w:hAnsi="仿宋" w:eastAsia="仿宋" w:cs="仿宋"/>
          <w:b/>
          <w:bCs/>
          <w:sz w:val="24"/>
          <w:szCs w:val="24"/>
        </w:rPr>
      </w:pPr>
      <w:bookmarkStart w:id="9" w:name="_Toc373860293"/>
      <w:bookmarkStart w:id="10" w:name="_Toc317775178"/>
    </w:p>
    <w:p>
      <w:pPr>
        <w:spacing w:line="400" w:lineRule="exact"/>
        <w:outlineLvl w:val="1"/>
        <w:rPr>
          <w:rFonts w:ascii="仿宋" w:hAnsi="仿宋" w:eastAsia="仿宋" w:cs="仿宋"/>
          <w:b/>
          <w:bCs/>
          <w:sz w:val="24"/>
          <w:szCs w:val="24"/>
        </w:rPr>
      </w:pPr>
      <w:bookmarkStart w:id="11" w:name="_Toc80882043"/>
      <w:r>
        <w:rPr>
          <w:rFonts w:hint="eastAsia" w:ascii="仿宋" w:hAnsi="仿宋" w:eastAsia="仿宋" w:cs="仿宋"/>
          <w:b/>
          <w:bCs/>
          <w:sz w:val="24"/>
          <w:szCs w:val="24"/>
        </w:rPr>
        <w:t>二、资金来源</w:t>
      </w:r>
      <w:bookmarkEnd w:id="11"/>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自筹资金。</w:t>
      </w:r>
    </w:p>
    <w:p>
      <w:pPr>
        <w:spacing w:line="400" w:lineRule="exact"/>
        <w:outlineLvl w:val="1"/>
        <w:rPr>
          <w:rFonts w:ascii="仿宋" w:hAnsi="仿宋" w:eastAsia="仿宋" w:cs="仿宋"/>
          <w:b/>
          <w:bCs/>
          <w:sz w:val="24"/>
          <w:szCs w:val="24"/>
        </w:rPr>
      </w:pPr>
      <w:bookmarkStart w:id="12" w:name="_Toc80882044"/>
      <w:r>
        <w:rPr>
          <w:rFonts w:hint="eastAsia" w:ascii="仿宋" w:hAnsi="仿宋" w:eastAsia="仿宋" w:cs="仿宋"/>
          <w:b/>
          <w:bCs/>
          <w:sz w:val="24"/>
          <w:szCs w:val="24"/>
        </w:rPr>
        <w:t>三、供应商资格条件</w:t>
      </w:r>
      <w:bookmarkEnd w:id="12"/>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合格的响应人应首先符合政府采购法第二十二条规定的基本条件，同时符合根据该项目特殊要求设置的其他资格条件。</w:t>
      </w:r>
    </w:p>
    <w:p>
      <w:pPr>
        <w:spacing w:line="480" w:lineRule="exact"/>
        <w:ind w:firstLine="480" w:firstLineChars="200"/>
        <w:rPr>
          <w:rFonts w:ascii="仿宋" w:hAnsi="仿宋" w:eastAsia="仿宋" w:cs="仿宋"/>
          <w:sz w:val="24"/>
          <w:szCs w:val="24"/>
        </w:rPr>
      </w:pPr>
      <w:bookmarkStart w:id="13" w:name="_Toc27726"/>
      <w:r>
        <w:rPr>
          <w:rFonts w:hint="eastAsia" w:ascii="仿宋" w:hAnsi="仿宋" w:eastAsia="仿宋" w:cs="仿宋"/>
          <w:sz w:val="24"/>
          <w:szCs w:val="24"/>
        </w:rPr>
        <w:t>（一）基本资格条件</w:t>
      </w:r>
      <w:bookmarkEnd w:id="13"/>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（3）有依法缴纳税收的良好记录；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（4）参加政府采购活动前三年内，在经营活动中没有重大违法记录；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（5）法律、行政法规规定的其他条件。</w:t>
      </w:r>
    </w:p>
    <w:p>
      <w:pPr>
        <w:spacing w:line="400" w:lineRule="exact"/>
        <w:ind w:firstLine="480" w:firstLineChars="200"/>
        <w:rPr>
          <w:rFonts w:ascii="仿宋" w:hAnsi="仿宋" w:eastAsia="仿宋" w:cs="仿宋"/>
          <w:sz w:val="24"/>
          <w:szCs w:val="24"/>
        </w:rPr>
      </w:pPr>
      <w:bookmarkStart w:id="14" w:name="_Toc13192"/>
      <w:r>
        <w:rPr>
          <w:rFonts w:hint="eastAsia" w:ascii="仿宋" w:hAnsi="仿宋" w:eastAsia="仿宋" w:cs="仿宋"/>
          <w:sz w:val="24"/>
          <w:szCs w:val="24"/>
        </w:rPr>
        <w:t>（二）特定资格条件</w:t>
      </w:r>
      <w:bookmarkEnd w:id="14"/>
    </w:p>
    <w:p>
      <w:pPr>
        <w:pStyle w:val="5"/>
        <w:ind w:firstLine="720" w:firstLineChars="300"/>
        <w:rPr>
          <w:rFonts w:ascii="仿宋" w:hAnsi="仿宋" w:eastAsia="仿宋" w:cs="仿宋"/>
          <w:sz w:val="24"/>
          <w:szCs w:val="24"/>
        </w:rPr>
      </w:pPr>
      <w:r>
        <w:rPr>
          <w:rFonts w:hint="eastAsia" w:ascii="仿宋" w:hAnsi="仿宋" w:eastAsia="仿宋" w:cs="仿宋"/>
          <w:sz w:val="24"/>
          <w:szCs w:val="24"/>
        </w:rPr>
        <w:t>无</w:t>
      </w:r>
    </w:p>
    <w:p>
      <w:pPr>
        <w:pStyle w:val="5"/>
        <w:ind w:firstLine="723" w:firstLineChars="300"/>
        <w:rPr>
          <w:rFonts w:ascii="仿宋" w:hAnsi="仿宋" w:eastAsia="仿宋" w:cs="仿宋"/>
          <w:b/>
          <w:sz w:val="24"/>
          <w:szCs w:val="24"/>
        </w:rPr>
      </w:pPr>
      <w:r>
        <w:rPr>
          <w:rFonts w:hint="eastAsia" w:ascii="仿宋" w:hAnsi="仿宋" w:eastAsia="仿宋" w:cs="仿宋"/>
          <w:b/>
          <w:sz w:val="24"/>
          <w:szCs w:val="24"/>
        </w:rPr>
        <w:t>（三）资格条件装订要求：</w:t>
      </w:r>
      <w:r>
        <w:rPr>
          <w:rFonts w:hint="eastAsia" w:ascii="仿宋" w:hAnsi="仿宋" w:eastAsia="仿宋" w:cs="仿宋"/>
          <w:b/>
          <w:bCs/>
          <w:sz w:val="24"/>
          <w:szCs w:val="24"/>
        </w:rPr>
        <w:t>单独装订，一式三份</w:t>
      </w:r>
    </w:p>
    <w:p>
      <w:pPr>
        <w:spacing w:line="480" w:lineRule="exact"/>
        <w:outlineLvl w:val="1"/>
        <w:rPr>
          <w:rFonts w:ascii="仿宋" w:hAnsi="仿宋" w:eastAsia="仿宋" w:cs="仿宋"/>
          <w:b/>
          <w:bCs/>
          <w:sz w:val="24"/>
          <w:szCs w:val="24"/>
        </w:rPr>
      </w:pPr>
      <w:bookmarkStart w:id="15" w:name="_Toc80882045"/>
      <w:r>
        <w:rPr>
          <w:rFonts w:hint="eastAsia" w:ascii="仿宋" w:hAnsi="仿宋" w:eastAsia="仿宋" w:cs="仿宋"/>
          <w:b/>
          <w:bCs/>
          <w:sz w:val="24"/>
          <w:szCs w:val="24"/>
        </w:rPr>
        <w:t>四、磋商有关说明</w:t>
      </w:r>
      <w:bookmarkEnd w:id="9"/>
      <w:bookmarkEnd w:id="15"/>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（一）凡有意参加磋商的供应商，请于公告发布之日2021年</w:t>
      </w:r>
      <w:r>
        <w:rPr>
          <w:rFonts w:hint="eastAsia" w:ascii="仿宋" w:hAnsi="仿宋" w:eastAsia="仿宋" w:cs="仿宋"/>
          <w:sz w:val="24"/>
          <w:szCs w:val="24"/>
          <w:lang w:val="en-US" w:eastAsia="zh-CN"/>
        </w:rPr>
        <w:t>9</w:t>
      </w:r>
      <w:r>
        <w:rPr>
          <w:rFonts w:hint="eastAsia" w:ascii="仿宋" w:hAnsi="仿宋" w:eastAsia="仿宋" w:cs="仿宋"/>
          <w:sz w:val="24"/>
          <w:szCs w:val="24"/>
        </w:rPr>
        <w:t>月</w:t>
      </w:r>
      <w:r>
        <w:rPr>
          <w:rFonts w:hint="eastAsia" w:ascii="仿宋" w:hAnsi="仿宋" w:eastAsia="仿宋" w:cs="仿宋"/>
          <w:sz w:val="24"/>
          <w:szCs w:val="24"/>
          <w:lang w:val="en-US" w:eastAsia="zh-CN"/>
        </w:rPr>
        <w:t>9</w:t>
      </w:r>
      <w:r>
        <w:rPr>
          <w:rFonts w:hint="eastAsia" w:ascii="仿宋" w:hAnsi="仿宋" w:eastAsia="仿宋" w:cs="仿宋"/>
          <w:sz w:val="24"/>
          <w:szCs w:val="24"/>
        </w:rPr>
        <w:t>日起至提交响应文件截止时间之前，在“</w:t>
      </w:r>
      <w:r>
        <w:rPr>
          <w:rFonts w:hint="eastAsia" w:ascii="仿宋" w:hAnsi="仿宋" w:eastAsia="仿宋" w:cs="宋体"/>
          <w:sz w:val="24"/>
          <w:szCs w:val="24"/>
        </w:rPr>
        <w:t>重庆化工职业学院校园网”（http://www.c</w:t>
      </w:r>
      <w:r>
        <w:rPr>
          <w:rFonts w:ascii="仿宋" w:hAnsi="仿宋" w:eastAsia="仿宋" w:cs="宋体"/>
          <w:sz w:val="24"/>
          <w:szCs w:val="24"/>
        </w:rPr>
        <w:t>qcivc.edu.cn</w:t>
      </w:r>
      <w:r>
        <w:rPr>
          <w:rFonts w:hint="eastAsia" w:ascii="仿宋" w:hAnsi="仿宋" w:eastAsia="仿宋" w:cs="宋体"/>
          <w:sz w:val="24"/>
          <w:szCs w:val="24"/>
        </w:rPr>
        <w:t>）</w:t>
      </w:r>
      <w:r>
        <w:rPr>
          <w:rFonts w:hint="eastAsia" w:ascii="仿宋" w:hAnsi="仿宋" w:eastAsia="仿宋" w:cs="仿宋"/>
          <w:sz w:val="24"/>
          <w:szCs w:val="24"/>
        </w:rPr>
        <w:t>下载本项目竞争性磋商文件以及补遗等磋商前公布的所有项目资料，无论供应商下载与否，均视为已知晓所有磋商实质性要求内容。</w:t>
      </w:r>
    </w:p>
    <w:p>
      <w:pPr>
        <w:spacing w:line="380" w:lineRule="exact"/>
        <w:ind w:firstLine="480" w:firstLineChars="200"/>
      </w:pPr>
      <w:r>
        <w:rPr>
          <w:rFonts w:hint="eastAsia" w:ascii="仿宋" w:hAnsi="仿宋" w:eastAsia="仿宋" w:cs="仿宋"/>
          <w:sz w:val="24"/>
          <w:szCs w:val="24"/>
        </w:rPr>
        <w:t>（二）</w:t>
      </w:r>
      <w:r>
        <w:rPr>
          <w:rFonts w:hint="eastAsia" w:ascii="仿宋" w:hAnsi="仿宋" w:eastAsia="仿宋" w:cs="宋体"/>
          <w:sz w:val="24"/>
          <w:szCs w:val="24"/>
        </w:rPr>
        <w:t>招标文件购买费为： 200元/份（售后不退）。</w:t>
      </w:r>
    </w:p>
    <w:p>
      <w:pPr>
        <w:pStyle w:val="13"/>
        <w:spacing w:line="38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（三）报名时间：响应文件递交截止时间前</w:t>
      </w:r>
    </w:p>
    <w:p>
      <w:pPr>
        <w:pStyle w:val="13"/>
        <w:spacing w:line="380" w:lineRule="exact"/>
        <w:jc w:val="left"/>
        <w:rPr>
          <w:rFonts w:ascii="仿宋" w:hAnsi="仿宋" w:eastAsia="仿宋" w:cs="仿宋"/>
          <w:sz w:val="24"/>
          <w:szCs w:val="24"/>
        </w:rPr>
      </w:pPr>
      <w:r>
        <w:rPr>
          <w:rFonts w:hint="eastAsia" w:ascii="仿宋" w:hAnsi="仿宋" w:eastAsia="仿宋" w:cs="仿宋"/>
          <w:sz w:val="24"/>
          <w:szCs w:val="24"/>
        </w:rPr>
        <w:t>报名时将营业执照等基本资格条件扫描件发送至：</w:t>
      </w:r>
      <w:r>
        <w:rPr>
          <w:rFonts w:hint="eastAsia" w:ascii="宋体" w:hAnsi="宋体"/>
          <w:sz w:val="24"/>
          <w:szCs w:val="24"/>
        </w:rPr>
        <w:t>jjhqc@cqcivc.edu.cn</w:t>
      </w:r>
      <w:r>
        <w:rPr>
          <w:rFonts w:hint="eastAsia" w:ascii="仿宋" w:hAnsi="仿宋" w:eastAsia="仿宋" w:cs="仿宋"/>
          <w:sz w:val="24"/>
          <w:szCs w:val="24"/>
        </w:rPr>
        <w:t>。咨询电话：023-81886050。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（四）投标人须满足以下三种要件，其响应文件才被接受：</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1、按时递交了响应文件；</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2、按时缴纳了招标文件购买费；</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3、按时交纳磋商保证金。</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（五）磋商地点：</w:t>
      </w:r>
      <w:r>
        <w:rPr>
          <w:rFonts w:hint="eastAsia" w:ascii="仿宋" w:hAnsi="仿宋" w:eastAsia="仿宋" w:cs="宋体"/>
          <w:sz w:val="24"/>
          <w:szCs w:val="24"/>
        </w:rPr>
        <w:t>重庆化工职业学院综合楼205（重庆市长寿区菩提东路2009号）；</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（六）提交响应文件起止时间：2021年9月</w:t>
      </w:r>
      <w:r>
        <w:rPr>
          <w:rFonts w:hint="eastAsia" w:ascii="仿宋" w:hAnsi="仿宋" w:eastAsia="仿宋" w:cs="仿宋"/>
          <w:sz w:val="24"/>
          <w:szCs w:val="24"/>
          <w:lang w:val="en-US" w:eastAsia="zh-CN"/>
        </w:rPr>
        <w:t>22</w:t>
      </w:r>
      <w:r>
        <w:rPr>
          <w:rFonts w:hint="eastAsia" w:ascii="仿宋" w:hAnsi="仿宋" w:eastAsia="仿宋" w:cs="仿宋"/>
          <w:sz w:val="24"/>
          <w:szCs w:val="24"/>
        </w:rPr>
        <w:t>日北京时间9:40-10:00。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（七）竞争性磋商开始时间：2021年9月</w:t>
      </w:r>
      <w:r>
        <w:rPr>
          <w:rFonts w:hint="eastAsia" w:ascii="仿宋" w:hAnsi="仿宋" w:eastAsia="仿宋" w:cs="仿宋"/>
          <w:sz w:val="24"/>
          <w:szCs w:val="24"/>
          <w:lang w:val="en-US" w:eastAsia="zh-CN"/>
        </w:rPr>
        <w:t>22</w:t>
      </w:r>
      <w:bookmarkStart w:id="356" w:name="_GoBack"/>
      <w:bookmarkEnd w:id="356"/>
      <w:r>
        <w:rPr>
          <w:rFonts w:hint="eastAsia" w:ascii="仿宋" w:hAnsi="仿宋" w:eastAsia="仿宋" w:cs="仿宋"/>
          <w:sz w:val="24"/>
          <w:szCs w:val="24"/>
        </w:rPr>
        <w:t>日北京时间10:00。</w:t>
      </w:r>
    </w:p>
    <w:bookmarkEnd w:id="10"/>
    <w:p>
      <w:pPr>
        <w:keepNext/>
        <w:keepLines/>
        <w:spacing w:before="260" w:after="260"/>
        <w:outlineLvl w:val="1"/>
        <w:rPr>
          <w:rFonts w:ascii="仿宋" w:hAnsi="仿宋" w:eastAsia="仿宋" w:cs="宋体"/>
          <w:sz w:val="24"/>
          <w:szCs w:val="24"/>
        </w:rPr>
      </w:pPr>
      <w:bookmarkStart w:id="16" w:name="_Toc67228836"/>
      <w:bookmarkStart w:id="17" w:name="_Toc13331"/>
      <w:bookmarkStart w:id="18" w:name="_Toc19498"/>
      <w:bookmarkStart w:id="19" w:name="_Toc15947"/>
      <w:bookmarkStart w:id="20" w:name="_Toc13221"/>
      <w:bookmarkStart w:id="21" w:name="_Toc9883"/>
      <w:bookmarkStart w:id="22" w:name="_Toc21836"/>
      <w:bookmarkStart w:id="23" w:name="_Toc1649"/>
      <w:bookmarkStart w:id="24" w:name="_Toc979"/>
      <w:bookmarkStart w:id="25" w:name="_Toc27313"/>
      <w:bookmarkStart w:id="26" w:name="_Toc4952"/>
      <w:bookmarkStart w:id="27" w:name="_Toc7067"/>
      <w:bookmarkStart w:id="28" w:name="_Toc28308"/>
      <w:bookmarkStart w:id="29" w:name="_Toc6024"/>
      <w:bookmarkStart w:id="30" w:name="_Toc77262111"/>
      <w:bookmarkStart w:id="31" w:name="_Toc80882046"/>
      <w:bookmarkStart w:id="32" w:name="_Toc480882256"/>
      <w:bookmarkStart w:id="33" w:name="_Toc479668114"/>
      <w:bookmarkStart w:id="34" w:name="_Toc8466_WPSOffice_Level2"/>
      <w:bookmarkStart w:id="35" w:name="_Toc20340"/>
      <w:r>
        <w:rPr>
          <w:rFonts w:hint="eastAsia" w:ascii="仿宋" w:hAnsi="仿宋" w:eastAsia="仿宋" w:cs="宋体"/>
          <w:b/>
          <w:sz w:val="24"/>
          <w:szCs w:val="24"/>
        </w:rPr>
        <w:t>五、保证金</w:t>
      </w:r>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hint="eastAsia" w:ascii="仿宋" w:hAnsi="仿宋" w:eastAsia="仿宋" w:cs="宋体"/>
          <w:b/>
          <w:sz w:val="24"/>
          <w:szCs w:val="24"/>
        </w:rPr>
        <w:t>、标书费缴纳与退还</w:t>
      </w:r>
      <w:bookmarkEnd w:id="30"/>
      <w:bookmarkEnd w:id="31"/>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（一）投标保证金和标书费相关事项</w:t>
      </w:r>
    </w:p>
    <w:p>
      <w:pPr>
        <w:spacing w:after="200" w:line="276" w:lineRule="auto"/>
        <w:ind w:firstLine="480" w:firstLineChars="200"/>
        <w:rPr>
          <w:rFonts w:ascii="仿宋" w:hAnsi="仿宋" w:eastAsia="仿宋"/>
          <w:sz w:val="24"/>
          <w:szCs w:val="24"/>
        </w:rPr>
      </w:pPr>
      <w:r>
        <w:rPr>
          <w:rFonts w:hint="eastAsia" w:ascii="仿宋" w:hAnsi="仿宋" w:eastAsia="仿宋"/>
          <w:sz w:val="24"/>
          <w:szCs w:val="24"/>
        </w:rPr>
        <w:t>1、投标人须按本项目规定的投标保证金金额和标书费足额缴纳（保证金金额详见本篇，一、招标项目内容，标书费</w:t>
      </w:r>
      <w:r>
        <w:rPr>
          <w:rFonts w:hint="eastAsia" w:ascii="仿宋" w:hAnsi="仿宋" w:eastAsia="仿宋"/>
          <w:color w:val="000000"/>
          <w:sz w:val="24"/>
          <w:szCs w:val="24"/>
        </w:rPr>
        <w:t>200元/份</w:t>
      </w:r>
      <w:r>
        <w:rPr>
          <w:rFonts w:hint="eastAsia" w:ascii="仿宋" w:hAnsi="仿宋" w:eastAsia="仿宋"/>
          <w:sz w:val="24"/>
          <w:szCs w:val="24"/>
        </w:rPr>
        <w:t>），由投标人从其基本账户汇至以下账户，保证金的到账截止时间为递交响应文件截止时间前1小时。</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保证金和标书费收取账户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收款单位：重庆化工职业学院；</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开户行：中国建设银行长寿支行桃花新城分理处；</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账号：</w:t>
      </w:r>
      <w:r>
        <w:rPr>
          <w:rFonts w:ascii="仿宋" w:hAnsi="仿宋" w:eastAsia="仿宋" w:cs="宋体"/>
          <w:sz w:val="24"/>
          <w:szCs w:val="24"/>
        </w:rPr>
        <w:t>50001120041052506322</w:t>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（1）各供应商在银行转账（电汇）时，须充分考虑银行转账（电汇）的时间差风险，如同城转账、异地转账或汇款、跨行转账或电汇的时间要求。</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（2）各供应商在递交保证金时，到款账户为上述指定的保证金专用账户，来款账户必须为公司基本账户。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w:t>
      </w:r>
      <w:r>
        <w:rPr>
          <w:rFonts w:ascii="仿宋" w:hAnsi="仿宋" w:eastAsia="仿宋" w:cs="宋体"/>
          <w:sz w:val="24"/>
          <w:szCs w:val="24"/>
        </w:rPr>
        <w:t>3</w:t>
      </w:r>
      <w:r>
        <w:rPr>
          <w:rFonts w:hint="eastAsia" w:ascii="仿宋" w:hAnsi="仿宋" w:eastAsia="仿宋" w:cs="宋体"/>
          <w:sz w:val="24"/>
          <w:szCs w:val="24"/>
        </w:rPr>
        <w:t>）投标保证金和标书费单笔一并缴纳。</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（4）汇款的供应商必须在付款凭证备注栏中注明 “CQHGZYXY-202130”的采购计划编号，以便采购人开具缴费收据；并在投标文件中附纸质的转账凭证；纸质的转账凭证必须盖章并随身携带，在递交响应文件的同时递交；电子转账凭证的清晰截图必须以公司名称加项目名称命名发至专门接收保证金退还账户信息的邮箱：</w:t>
      </w:r>
      <w:r>
        <w:fldChar w:fldCharType="begin"/>
      </w:r>
      <w:r>
        <w:instrText xml:space="preserve"> HYPERLINK "mailto:1759401629@qq.com" </w:instrText>
      </w:r>
      <w:r>
        <w:fldChar w:fldCharType="separate"/>
      </w:r>
      <w:r>
        <w:rPr>
          <w:rFonts w:hint="eastAsia" w:ascii="仿宋" w:hAnsi="仿宋" w:eastAsia="仿宋" w:cs="宋体"/>
          <w:color w:val="0000FF"/>
          <w:sz w:val="24"/>
          <w:szCs w:val="24"/>
          <w:u w:val="single"/>
        </w:rPr>
        <w:t>1</w:t>
      </w:r>
      <w:r>
        <w:rPr>
          <w:rFonts w:ascii="仿宋" w:hAnsi="仿宋" w:eastAsia="仿宋" w:cs="宋体"/>
          <w:color w:val="0000FF"/>
          <w:sz w:val="24"/>
          <w:szCs w:val="24"/>
          <w:u w:val="single"/>
        </w:rPr>
        <w:t>759401629@qq.com</w:t>
      </w:r>
      <w:r>
        <w:rPr>
          <w:rFonts w:ascii="仿宋" w:hAnsi="仿宋" w:eastAsia="仿宋" w:cs="宋体"/>
          <w:color w:val="0000FF"/>
          <w:sz w:val="24"/>
          <w:szCs w:val="24"/>
          <w:u w:val="single"/>
        </w:rPr>
        <w:fldChar w:fldCharType="end"/>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（二）投标保证金退还方式</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未中标单位的投标保证金，在中标通知书发出后十个工作日内按来款渠道直接退还。</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中标人的投标保证金，自动转为履约保证金一部分。</w:t>
      </w:r>
    </w:p>
    <w:p>
      <w:pPr>
        <w:spacing w:line="380" w:lineRule="exact"/>
        <w:outlineLvl w:val="1"/>
        <w:rPr>
          <w:rFonts w:ascii="仿宋" w:hAnsi="仿宋" w:eastAsia="仿宋" w:cs="宋体"/>
          <w:b/>
          <w:bCs/>
          <w:sz w:val="24"/>
          <w:szCs w:val="24"/>
        </w:rPr>
      </w:pPr>
      <w:bookmarkStart w:id="36" w:name="_Toc80882047"/>
      <w:r>
        <w:rPr>
          <w:rFonts w:hint="eastAsia" w:ascii="仿宋" w:hAnsi="仿宋" w:eastAsia="仿宋" w:cs="宋体"/>
          <w:b/>
          <w:bCs/>
          <w:sz w:val="24"/>
          <w:szCs w:val="24"/>
        </w:rPr>
        <w:t>六、采购项目需落实的政府采购政策</w:t>
      </w:r>
      <w:bookmarkEnd w:id="32"/>
      <w:bookmarkEnd w:id="33"/>
      <w:bookmarkEnd w:id="34"/>
      <w:bookmarkEnd w:id="35"/>
      <w:bookmarkEnd w:id="36"/>
    </w:p>
    <w:p>
      <w:pPr>
        <w:spacing w:after="200" w:line="276" w:lineRule="auto"/>
        <w:ind w:firstLine="480" w:firstLineChars="200"/>
        <w:rPr>
          <w:rFonts w:ascii="仿宋" w:hAnsi="仿宋" w:eastAsia="仿宋" w:cs="宋体"/>
          <w:sz w:val="24"/>
          <w:szCs w:val="24"/>
        </w:rPr>
      </w:pPr>
      <w:bookmarkStart w:id="37" w:name="_Toc20933_WPSOffice_Level2"/>
      <w:bookmarkStart w:id="38" w:name="_Toc9196"/>
      <w:r>
        <w:rPr>
          <w:rFonts w:hint="eastAsia" w:ascii="仿宋" w:hAnsi="仿宋" w:eastAsia="仿宋" w:cs="宋体"/>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（二）按照财政部、工业和信息化部关于印发《政府采购促进中小企业发展管理办法》的通知（财库〔2020〕46号）的规定，落实促进中小企业发展政策。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（三）按照《财政部、司法部关于政府采购支持监狱企业发展有关问题的通知》（财库〔2014〕68号）的规定，落实支持监狱企业发展政策。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（四）按照《三部门联合发布关于促进残疾人就业政府采购政策的通知》（财库〔2017〕 141号）的规定，落实支持残疾人福利性单位发展政策。</w:t>
      </w:r>
    </w:p>
    <w:p>
      <w:pPr>
        <w:spacing w:line="480" w:lineRule="exact"/>
        <w:outlineLvl w:val="1"/>
        <w:rPr>
          <w:rFonts w:ascii="仿宋" w:hAnsi="仿宋" w:eastAsia="仿宋" w:cs="宋体"/>
          <w:b/>
          <w:bCs/>
          <w:sz w:val="24"/>
          <w:szCs w:val="24"/>
        </w:rPr>
      </w:pPr>
      <w:bookmarkStart w:id="39" w:name="_Toc80882048"/>
      <w:r>
        <w:rPr>
          <w:rFonts w:hint="eastAsia" w:ascii="仿宋" w:hAnsi="仿宋" w:eastAsia="仿宋" w:cs="宋体"/>
          <w:b/>
          <w:bCs/>
          <w:sz w:val="24"/>
          <w:szCs w:val="24"/>
        </w:rPr>
        <w:t>七、其它有关规定</w:t>
      </w:r>
      <w:bookmarkEnd w:id="37"/>
      <w:bookmarkEnd w:id="38"/>
      <w:bookmarkEnd w:id="39"/>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（一）单位负责人为同一人或者存在直接控股、管理关系的不同供应商，不得参加同一合同项（分包）下的政府采购活动，否则均为无效磋商。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（二）为采购项目提供整体设计、规范编制或者项目管理、监理、检测等服务的供应商，不得再参加该采购项目的其他采购活动。</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（三）同一合同项（分包）下为单一品目的货物采购中，同一品牌同一型号产品有多家供应商参加磋商，只能按照一家供应商计算。</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（四）同一合同项（分包）下的货物，制造商参与磋商的，不得再委托代理商参与磋商。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（五）本项目的补遗文件（如果有）一律在重庆化工职业学院官网（http://www.</w:t>
      </w:r>
      <w:r>
        <w:rPr>
          <w:rFonts w:ascii="仿宋" w:hAnsi="仿宋" w:eastAsia="仿宋" w:cs="宋体"/>
          <w:sz w:val="24"/>
          <w:szCs w:val="24"/>
        </w:rPr>
        <w:t>cqcivc.edu.cn</w:t>
      </w:r>
      <w:r>
        <w:rPr>
          <w:rFonts w:hint="eastAsia" w:ascii="仿宋" w:hAnsi="仿宋" w:eastAsia="仿宋" w:cs="宋体"/>
          <w:sz w:val="24"/>
          <w:szCs w:val="24"/>
        </w:rPr>
        <w:t>）上发布，请各供应商注意下载；无论供应商下载与否，均视同供应商已知晓本项目补遗文件（如果有）的内容。</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（六）超过响应文件截止时间递交的响应文件，恕不接收。</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（七）磋商费用：无论磋商结果如何，供应商参与本项目磋商的所有费用均应由供应商自行承担。</w:t>
      </w:r>
    </w:p>
    <w:p>
      <w:pPr>
        <w:snapToGrid w:val="0"/>
        <w:spacing w:line="380" w:lineRule="exact"/>
        <w:ind w:firstLine="480" w:firstLineChars="200"/>
        <w:rPr>
          <w:rFonts w:ascii="仿宋" w:hAnsi="仿宋" w:eastAsia="仿宋" w:cs="仿宋"/>
          <w:sz w:val="24"/>
          <w:szCs w:val="24"/>
        </w:rPr>
      </w:pPr>
      <w:r>
        <w:rPr>
          <w:rFonts w:hint="eastAsia" w:ascii="仿宋" w:hAnsi="仿宋" w:eastAsia="仿宋" w:cs="宋体"/>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pPr>
        <w:outlineLvl w:val="1"/>
        <w:rPr>
          <w:rFonts w:ascii="仿宋" w:hAnsi="仿宋" w:eastAsia="仿宋" w:cs="仿宋"/>
          <w:b/>
          <w:bCs/>
          <w:sz w:val="24"/>
          <w:szCs w:val="24"/>
        </w:rPr>
      </w:pPr>
      <w:bookmarkStart w:id="40" w:name="_Toc80882049"/>
      <w:r>
        <w:rPr>
          <w:rFonts w:hint="eastAsia" w:ascii="仿宋" w:hAnsi="仿宋" w:eastAsia="仿宋" w:cs="仿宋"/>
          <w:b/>
          <w:bCs/>
          <w:sz w:val="24"/>
          <w:szCs w:val="24"/>
        </w:rPr>
        <w:t>八、联系方式</w:t>
      </w:r>
      <w:bookmarkEnd w:id="40"/>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采购人：重庆化工职业学院</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联系人：黄老师（招投标办公室）</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w:t>
      </w:r>
      <w:r>
        <w:rPr>
          <w:rStyle w:val="18"/>
          <w:rFonts w:hint="eastAsia" w:ascii="仿宋" w:hAnsi="仿宋" w:eastAsia="仿宋" w:cs="宋体"/>
          <w:sz w:val="24"/>
          <w:szCs w:val="24"/>
        </w:rPr>
        <w:t>023-</w:t>
      </w:r>
      <w:r>
        <w:rPr>
          <w:rFonts w:hint="eastAsia" w:ascii="仿宋" w:hAnsi="仿宋" w:eastAsia="仿宋" w:cs="宋体"/>
          <w:sz w:val="24"/>
          <w:szCs w:val="24"/>
        </w:rPr>
        <w:t>81886050</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项目联系人：杨老师</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话：15223187233</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地  址：重庆市长寿区菩提东路2009号</w:t>
      </w:r>
    </w:p>
    <w:p>
      <w:pPr>
        <w:ind w:firstLine="480" w:firstLineChars="200"/>
        <w:rPr>
          <w:rStyle w:val="18"/>
          <w:rFonts w:ascii="仿宋" w:hAnsi="仿宋" w:eastAsia="仿宋" w:cs="宋体"/>
          <w:sz w:val="24"/>
          <w:szCs w:val="24"/>
        </w:rPr>
      </w:pPr>
      <w:r>
        <w:rPr>
          <w:rStyle w:val="18"/>
          <w:rFonts w:hint="eastAsia" w:ascii="仿宋" w:hAnsi="仿宋" w:eastAsia="仿宋" w:cs="宋体"/>
          <w:sz w:val="24"/>
          <w:szCs w:val="24"/>
        </w:rPr>
        <w:t>项目监督人：余老师</w:t>
      </w:r>
    </w:p>
    <w:p>
      <w:pPr>
        <w:ind w:firstLine="480" w:firstLineChars="200"/>
        <w:rPr>
          <w:rStyle w:val="18"/>
          <w:rFonts w:ascii="仿宋" w:hAnsi="仿宋" w:eastAsia="仿宋" w:cs="宋体"/>
          <w:sz w:val="24"/>
          <w:szCs w:val="24"/>
        </w:rPr>
      </w:pPr>
      <w:r>
        <w:rPr>
          <w:rStyle w:val="18"/>
          <w:rFonts w:hint="eastAsia" w:ascii="仿宋" w:hAnsi="仿宋" w:eastAsia="仿宋" w:cs="宋体"/>
          <w:sz w:val="24"/>
          <w:szCs w:val="24"/>
        </w:rPr>
        <w:t>监督电话：023-</w:t>
      </w:r>
      <w:r>
        <w:rPr>
          <w:rFonts w:ascii="仿宋" w:hAnsi="仿宋" w:eastAsia="仿宋" w:cs="宋体"/>
          <w:sz w:val="24"/>
          <w:szCs w:val="24"/>
        </w:rPr>
        <w:t>81886986</w:t>
      </w:r>
    </w:p>
    <w:p>
      <w:pPr>
        <w:ind w:firstLine="480" w:firstLineChars="200"/>
        <w:rPr>
          <w:rFonts w:ascii="仿宋" w:hAnsi="仿宋" w:eastAsia="仿宋" w:cs="宋体"/>
          <w:sz w:val="24"/>
          <w:szCs w:val="24"/>
        </w:rPr>
      </w:pPr>
      <w:r>
        <w:rPr>
          <w:rStyle w:val="18"/>
          <w:rFonts w:hint="eastAsia" w:ascii="仿宋" w:hAnsi="仿宋" w:eastAsia="仿宋" w:cs="宋体"/>
          <w:sz w:val="24"/>
          <w:szCs w:val="24"/>
        </w:rPr>
        <w:t>学校纪检监察部门电话：023-81886017</w:t>
      </w:r>
    </w:p>
    <w:p>
      <w:pPr>
        <w:spacing w:line="360" w:lineRule="auto"/>
        <w:jc w:val="center"/>
        <w:outlineLvl w:val="0"/>
        <w:rPr>
          <w:rFonts w:ascii="仿宋" w:hAnsi="仿宋" w:eastAsia="仿宋" w:cs="仿宋"/>
          <w:b/>
          <w:bCs/>
          <w:sz w:val="36"/>
          <w:szCs w:val="30"/>
        </w:rPr>
      </w:pPr>
      <w:bookmarkStart w:id="41" w:name="_Toc102227313"/>
      <w:r>
        <w:rPr>
          <w:rFonts w:hint="eastAsia" w:ascii="仿宋" w:hAnsi="仿宋" w:eastAsia="仿宋" w:cs="仿宋"/>
          <w:b/>
          <w:bCs/>
          <w:sz w:val="36"/>
          <w:szCs w:val="30"/>
        </w:rPr>
        <w:br w:type="page"/>
      </w:r>
      <w:bookmarkStart w:id="42" w:name="_Toc80882050"/>
      <w:r>
        <w:rPr>
          <w:rFonts w:hint="eastAsia" w:ascii="仿宋" w:hAnsi="仿宋" w:eastAsia="仿宋" w:cs="仿宋"/>
          <w:b/>
          <w:bCs/>
          <w:sz w:val="36"/>
          <w:szCs w:val="30"/>
        </w:rPr>
        <w:t>第二篇  供应商须知</w:t>
      </w:r>
      <w:bookmarkEnd w:id="41"/>
      <w:bookmarkEnd w:id="42"/>
    </w:p>
    <w:p>
      <w:pPr>
        <w:spacing w:line="440" w:lineRule="exact"/>
        <w:outlineLvl w:val="1"/>
        <w:rPr>
          <w:rFonts w:ascii="仿宋" w:hAnsi="仿宋" w:eastAsia="仿宋" w:cs="仿宋"/>
          <w:b/>
          <w:bCs/>
          <w:sz w:val="24"/>
          <w:szCs w:val="24"/>
        </w:rPr>
      </w:pPr>
      <w:bookmarkStart w:id="43" w:name="_Toc466546925"/>
      <w:bookmarkStart w:id="44" w:name="_Toc80882051"/>
      <w:bookmarkStart w:id="45" w:name="_Toc342913389"/>
      <w:r>
        <w:rPr>
          <w:rFonts w:hint="eastAsia" w:ascii="仿宋" w:hAnsi="仿宋" w:eastAsia="仿宋" w:cs="仿宋"/>
          <w:b/>
          <w:bCs/>
          <w:sz w:val="24"/>
          <w:szCs w:val="24"/>
        </w:rPr>
        <w:t>一、磋商费用</w:t>
      </w:r>
      <w:bookmarkEnd w:id="43"/>
      <w:bookmarkEnd w:id="44"/>
      <w:bookmarkEnd w:id="45"/>
    </w:p>
    <w:p>
      <w:pPr>
        <w:pStyle w:val="19"/>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参与磋商的供应商应承担其编制响应文件与递交响应文件所涉及的一切费用，不论磋商结果如何，采购人在任何情况下无义务也无责任承担这些费用。</w:t>
      </w:r>
    </w:p>
    <w:p>
      <w:pPr>
        <w:tabs>
          <w:tab w:val="left" w:pos="2640"/>
        </w:tabs>
        <w:spacing w:line="400" w:lineRule="exact"/>
        <w:outlineLvl w:val="1"/>
        <w:rPr>
          <w:rFonts w:ascii="仿宋" w:hAnsi="仿宋" w:eastAsia="仿宋" w:cs="仿宋"/>
          <w:b/>
          <w:bCs/>
          <w:sz w:val="24"/>
          <w:szCs w:val="24"/>
        </w:rPr>
      </w:pPr>
      <w:bookmarkStart w:id="46" w:name="_Toc342913391"/>
      <w:bookmarkStart w:id="47" w:name="_Toc80882052"/>
      <w:bookmarkStart w:id="48" w:name="_Toc466546926"/>
      <w:r>
        <w:rPr>
          <w:rFonts w:hint="eastAsia" w:ascii="仿宋" w:hAnsi="仿宋" w:eastAsia="仿宋" w:cs="仿宋"/>
          <w:b/>
          <w:bCs/>
          <w:sz w:val="24"/>
          <w:szCs w:val="24"/>
        </w:rPr>
        <w:t>二、竞争性磋商文件</w:t>
      </w:r>
      <w:bookmarkEnd w:id="46"/>
      <w:bookmarkEnd w:id="47"/>
      <w:bookmarkEnd w:id="48"/>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（一）竞争性磋商文件由采购邀请书、供应商须知、采购技术需求、采购服务需求、磋商程序及方法、评审标准、无效响应和采购终止、合同草案条款、响应文件编制要求七部分组成。</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（二）采购人所作的一切有效的书面通知、修改及补充，都是竞争性磋商文件不可分割的部分。</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w:t>
      </w:r>
      <w:bookmarkStart w:id="49" w:name="_Toc318159160"/>
      <w:bookmarkStart w:id="50" w:name="_Toc318159349"/>
      <w:bookmarkStart w:id="51" w:name="_Toc318159780"/>
      <w:bookmarkStart w:id="52" w:name="_Toc318166429"/>
      <w:r>
        <w:rPr>
          <w:rFonts w:hint="eastAsia" w:ascii="仿宋" w:hAnsi="仿宋" w:eastAsia="仿宋" w:cs="仿宋"/>
          <w:sz w:val="24"/>
          <w:szCs w:val="24"/>
        </w:rPr>
        <w:t>本竞争性磋商文件中，磋商小组根据与供应商进行磋商可能实质性变动的内容为竞争性磋商文件需求中的技术、服务要求以及合同草案条款。</w:t>
      </w:r>
    </w:p>
    <w:p>
      <w:pPr>
        <w:spacing w:line="500" w:lineRule="exact"/>
        <w:rPr>
          <w:rFonts w:ascii="仿宋" w:hAnsi="仿宋" w:eastAsia="仿宋" w:cs="仿宋"/>
          <w:sz w:val="24"/>
          <w:szCs w:val="24"/>
        </w:rPr>
      </w:pPr>
      <w:r>
        <w:rPr>
          <w:rFonts w:hint="eastAsia" w:ascii="仿宋" w:hAnsi="仿宋" w:eastAsia="仿宋" w:cs="仿宋"/>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（五）供应商对竞争性磋商文件有异议的，应在磋商文件公告（公告期为5个工作日）结束之日起七个工作日内提出，否则视同认可磋商文件所有要求。逾期提出异议的，采购人可以不予受理。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（六）评审的依据为竞争性磋商文件和响应文件（含有效的书面承诺）。磋商小组判断响应文件对竞争性磋商文件的响应，仅基于响应文件本身而不靠外部证据。</w:t>
      </w:r>
    </w:p>
    <w:bookmarkEnd w:id="49"/>
    <w:bookmarkEnd w:id="50"/>
    <w:bookmarkEnd w:id="51"/>
    <w:bookmarkEnd w:id="52"/>
    <w:p>
      <w:pPr>
        <w:spacing w:line="400" w:lineRule="exact"/>
        <w:outlineLvl w:val="1"/>
        <w:rPr>
          <w:rFonts w:ascii="仿宋" w:hAnsi="仿宋" w:eastAsia="仿宋" w:cs="仿宋"/>
          <w:b/>
          <w:bCs/>
          <w:sz w:val="24"/>
          <w:szCs w:val="24"/>
        </w:rPr>
      </w:pPr>
      <w:bookmarkStart w:id="53" w:name="_Toc179714297"/>
      <w:bookmarkStart w:id="54" w:name="_Toc80882053"/>
      <w:bookmarkStart w:id="55" w:name="_Toc466546927"/>
      <w:bookmarkStart w:id="56" w:name="_Toc102227318"/>
      <w:bookmarkStart w:id="57" w:name="_Toc342913392"/>
      <w:r>
        <w:rPr>
          <w:rFonts w:hint="eastAsia" w:ascii="仿宋" w:hAnsi="仿宋" w:eastAsia="仿宋" w:cs="仿宋"/>
          <w:b/>
          <w:bCs/>
          <w:sz w:val="24"/>
          <w:szCs w:val="24"/>
        </w:rPr>
        <w:t>三、磋商要求</w:t>
      </w:r>
      <w:bookmarkEnd w:id="53"/>
      <w:bookmarkEnd w:id="54"/>
      <w:bookmarkEnd w:id="55"/>
      <w:bookmarkEnd w:id="56"/>
      <w:bookmarkEnd w:id="57"/>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（一）响应文件</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1、供应商应当按照竞争性磋商文件的要求编制响应文件，并对竞争性磋商文件提出的要求和条件作出实质性响应，响应文件原则上采用软面订本，同时应编制完整的页码、目录。</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pPr>
        <w:spacing w:line="400" w:lineRule="exact"/>
        <w:outlineLvl w:val="1"/>
        <w:rPr>
          <w:rFonts w:ascii="仿宋" w:hAnsi="仿宋" w:eastAsia="仿宋" w:cs="仿宋"/>
          <w:b/>
          <w:sz w:val="24"/>
          <w:szCs w:val="24"/>
        </w:rPr>
      </w:pPr>
      <w:bookmarkStart w:id="58" w:name="_Toc27582"/>
      <w:bookmarkStart w:id="59" w:name="_Toc80882054"/>
      <w:r>
        <w:rPr>
          <w:rFonts w:hint="eastAsia" w:ascii="仿宋" w:hAnsi="仿宋" w:eastAsia="仿宋" w:cs="仿宋"/>
          <w:b/>
          <w:sz w:val="24"/>
          <w:szCs w:val="24"/>
        </w:rPr>
        <w:t>四、响应文件</w:t>
      </w:r>
      <w:bookmarkEnd w:id="58"/>
      <w:r>
        <w:rPr>
          <w:rFonts w:hint="eastAsia" w:ascii="仿宋" w:hAnsi="仿宋" w:eastAsia="仿宋" w:cs="仿宋"/>
          <w:b/>
          <w:sz w:val="24"/>
          <w:szCs w:val="24"/>
        </w:rPr>
        <w:t>编制要求</w:t>
      </w:r>
      <w:bookmarkEnd w:id="59"/>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（一）磋商有效期：响应文件及有关承诺文件有效期为提交响应文件截止时间起90天。</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（二）磋商保证金：</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1、供应商提交保证金金额和方式详见“</w:t>
      </w:r>
      <w:r>
        <w:rPr>
          <w:rFonts w:hint="eastAsia" w:ascii="仿宋" w:hAnsi="仿宋" w:eastAsia="仿宋" w:cs="仿宋"/>
          <w:b/>
          <w:sz w:val="24"/>
          <w:szCs w:val="24"/>
        </w:rPr>
        <w:t>第一篇  五、磋商保证金”</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2、发生以下情况之一者，磋商保证金不予退还：</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（2）供应商在响应文件中提供虚假材料的；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（3）除因不可抗力或竞争性磋商文件认可的情形以外，成交供应商不与采购人签订合同的；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（4）供应商与采购人、其他供应商恶意串通的；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（5）成交供应商不按规定的时间或拒绝按成交状态签订合同（即不按照采购文件确定的合同文本以及采购标的、规格型号、采购金额、采购数量、技术和服务要求等事项签订政府采购合同的。）。</w:t>
      </w:r>
    </w:p>
    <w:p>
      <w:pPr>
        <w:tabs>
          <w:tab w:val="left" w:pos="0"/>
        </w:tabs>
        <w:spacing w:line="500" w:lineRule="exact"/>
        <w:ind w:firstLine="482" w:firstLineChars="200"/>
        <w:rPr>
          <w:rFonts w:ascii="仿宋" w:hAnsi="仿宋" w:eastAsia="仿宋" w:cs="仿宋"/>
          <w:b/>
          <w:sz w:val="24"/>
          <w:szCs w:val="24"/>
        </w:rPr>
      </w:pPr>
      <w:r>
        <w:rPr>
          <w:rFonts w:hint="eastAsia" w:ascii="仿宋" w:hAnsi="仿宋" w:eastAsia="仿宋" w:cs="仿宋"/>
          <w:b/>
          <w:sz w:val="24"/>
          <w:szCs w:val="24"/>
        </w:rPr>
        <w:t>（三）竞争性磋商响应文件的组成和签署</w:t>
      </w:r>
    </w:p>
    <w:p>
      <w:pPr>
        <w:tabs>
          <w:tab w:val="left" w:pos="0"/>
        </w:tabs>
        <w:spacing w:line="4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line="500" w:lineRule="exact"/>
        <w:ind w:firstLine="480" w:firstLineChars="200"/>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w:t>
      </w:r>
      <w:r>
        <w:rPr>
          <w:rFonts w:hint="eastAsia" w:ascii="仿宋" w:hAnsi="仿宋" w:eastAsia="仿宋" w:cs="仿宋"/>
          <w:sz w:val="24"/>
        </w:rPr>
        <w:t>在响应文件正本中，竞争性文件第七篇响应文件格式中规定签字、盖章的地方必须按其规定签字、盖章。</w:t>
      </w:r>
    </w:p>
    <w:p>
      <w:pPr>
        <w:spacing w:line="500" w:lineRule="exact"/>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响应文件的密封与标记</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响应文件的正本、副本均采用信封分别密封。信封上注明项目名称、供应商名称、“正本”、“副本”、字样。信封的应加盖供应商公章或法人授权代表签字或法定代表人签字。</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如未按上述密封和标识，采购人可以拒绝接收。</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若供应商对竞争性磋商响应文件的错误之处作必要修改，则应在修改处加盖供应商公章或者由法人或法人授权代表签字确认。</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电报、电话、传真、邮寄、电子邮件等形式的竞争性磋商文件概不接受。</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（四）修正错误</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若竞争性磋商响应文件出现计算或表达上的错误，按无效处理的除外，修正错误的原则如下：</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1.磋商响应文件的大写金额和小写金额不一致的，以大写金额为准；</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2.总价金额与按单价汇总金额不一致的，以单价金额汇总计算结果为准；</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3.单价金额小数点有明显错位的，应以总价为准，并修正单价；</w:t>
      </w:r>
    </w:p>
    <w:p>
      <w:pPr>
        <w:pStyle w:val="7"/>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4.对不同文字文本磋商响应文件的解释发生异议的，以中文文本为准。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（五）竞争性磋商响应文件的处置</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无论供应商中标与否，采购人收到的资格证明文件、商务技术文件、报价文件及设备说明文件、各种复印件均不退还。</w:t>
      </w:r>
    </w:p>
    <w:p>
      <w:pPr>
        <w:snapToGrid w:val="0"/>
        <w:spacing w:line="500" w:lineRule="exact"/>
        <w:outlineLvl w:val="1"/>
        <w:rPr>
          <w:rFonts w:ascii="仿宋" w:hAnsi="仿宋" w:eastAsia="仿宋" w:cs="仿宋"/>
          <w:b/>
          <w:sz w:val="24"/>
          <w:szCs w:val="24"/>
        </w:rPr>
      </w:pPr>
      <w:bookmarkStart w:id="60" w:name="_Toc16088"/>
      <w:bookmarkStart w:id="61" w:name="_Toc80882055"/>
      <w:r>
        <w:rPr>
          <w:rFonts w:hint="eastAsia" w:ascii="仿宋" w:hAnsi="仿宋" w:eastAsia="仿宋" w:cs="仿宋"/>
          <w:b/>
          <w:sz w:val="24"/>
          <w:szCs w:val="24"/>
        </w:rPr>
        <w:t>五、</w:t>
      </w:r>
      <w:bookmarkEnd w:id="60"/>
      <w:r>
        <w:rPr>
          <w:rFonts w:hint="eastAsia" w:ascii="仿宋" w:hAnsi="仿宋" w:eastAsia="仿宋" w:cs="仿宋"/>
          <w:b/>
          <w:sz w:val="24"/>
          <w:szCs w:val="24"/>
        </w:rPr>
        <w:t>竞争性磋商评审活动程序</w:t>
      </w:r>
      <w:bookmarkEnd w:id="61"/>
    </w:p>
    <w:p>
      <w:pPr>
        <w:spacing w:line="600" w:lineRule="exact"/>
        <w:rPr>
          <w:rFonts w:ascii="仿宋" w:hAnsi="仿宋" w:eastAsia="仿宋" w:cs="仿宋"/>
          <w:b/>
          <w:kern w:val="0"/>
          <w:sz w:val="32"/>
          <w:szCs w:val="32"/>
        </w:rPr>
      </w:pPr>
      <w:r>
        <w:rPr>
          <w:rFonts w:hint="eastAsia" w:ascii="仿宋" w:hAnsi="仿宋" w:eastAsia="仿宋" w:cs="仿宋"/>
          <w:sz w:val="24"/>
          <w:szCs w:val="24"/>
        </w:rPr>
        <w:t xml:space="preserve">  （一）磋商按竞争性磋商文件规定的时间和地点进行。供应商须有法定代表人或其授权代表参加并签到。</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（二）竞争性磋商评审活动由采购人主持，邀请供应商和有关监督部门代表参加，财政部门和有关监督部门可视情况派员现场监督。</w:t>
      </w:r>
    </w:p>
    <w:p>
      <w:pPr>
        <w:spacing w:line="390" w:lineRule="exact"/>
        <w:rPr>
          <w:rFonts w:ascii="仿宋" w:hAnsi="仿宋" w:eastAsia="仿宋" w:cs="仿宋"/>
          <w:sz w:val="24"/>
          <w:szCs w:val="24"/>
        </w:rPr>
      </w:pPr>
      <w:r>
        <w:rPr>
          <w:rFonts w:hint="eastAsia" w:ascii="仿宋" w:hAnsi="仿宋" w:eastAsia="仿宋" w:cs="仿宋"/>
          <w:sz w:val="24"/>
          <w:szCs w:val="24"/>
        </w:rPr>
        <w:t xml:space="preserve">  （三）竞争性磋商以抽签的形式确定磋商顺序，由竞争性磋商小组分别与各供应商进行磋商。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（四）竞争性磋商评审活动过程应由采购人指定专人负责记录，并存档备查。</w:t>
      </w:r>
    </w:p>
    <w:p>
      <w:pPr>
        <w:spacing w:line="500" w:lineRule="exact"/>
        <w:outlineLvl w:val="1"/>
        <w:rPr>
          <w:rFonts w:ascii="仿宋" w:hAnsi="仿宋" w:eastAsia="仿宋" w:cs="仿宋"/>
          <w:b/>
          <w:sz w:val="24"/>
          <w:szCs w:val="24"/>
        </w:rPr>
      </w:pPr>
      <w:bookmarkStart w:id="62" w:name="_Toc22543"/>
      <w:bookmarkStart w:id="63" w:name="_Toc80882056"/>
      <w:r>
        <w:rPr>
          <w:rFonts w:hint="eastAsia" w:ascii="仿宋" w:hAnsi="仿宋" w:eastAsia="仿宋" w:cs="仿宋"/>
          <w:b/>
          <w:sz w:val="24"/>
          <w:szCs w:val="24"/>
        </w:rPr>
        <w:t>六、评审</w:t>
      </w:r>
      <w:bookmarkEnd w:id="62"/>
      <w:bookmarkEnd w:id="63"/>
    </w:p>
    <w:p>
      <w:pPr>
        <w:snapToGrid w:val="0"/>
        <w:spacing w:line="500" w:lineRule="exact"/>
        <w:rPr>
          <w:rFonts w:ascii="仿宋" w:hAnsi="仿宋" w:eastAsia="仿宋" w:cs="仿宋"/>
          <w:sz w:val="24"/>
          <w:szCs w:val="24"/>
        </w:rPr>
      </w:pPr>
      <w:r>
        <w:rPr>
          <w:rFonts w:hint="eastAsia" w:ascii="仿宋" w:hAnsi="仿宋" w:eastAsia="仿宋" w:cs="仿宋"/>
          <w:sz w:val="24"/>
          <w:szCs w:val="24"/>
        </w:rPr>
        <w:t>（一）评审程序见第五篇“评审程序”内容。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（二）评审报告主要内容：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（1）邀请供应商参加采购活动的具体方式和相关情况；</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（2）响应文件开启日期和地点；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（3）获取磋商文件的供应商名单和磋商小组成员名单；</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（4）评审情况记录和说明，包括对供应商的资格审查情况、供应商响应文件评审情况、磋商情况、报价情况等；</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（5）提出的成交候选供应商的排序名单及理由。</w:t>
      </w:r>
    </w:p>
    <w:p>
      <w:pPr>
        <w:snapToGrid w:val="0"/>
        <w:spacing w:line="500" w:lineRule="exact"/>
        <w:outlineLvl w:val="1"/>
        <w:rPr>
          <w:rFonts w:ascii="仿宋" w:hAnsi="仿宋" w:eastAsia="仿宋" w:cs="仿宋"/>
          <w:b/>
          <w:sz w:val="24"/>
          <w:szCs w:val="24"/>
        </w:rPr>
      </w:pPr>
      <w:bookmarkStart w:id="64" w:name="_Toc20490"/>
      <w:bookmarkStart w:id="65" w:name="_Toc80882057"/>
      <w:r>
        <w:rPr>
          <w:rFonts w:hint="eastAsia" w:ascii="仿宋" w:hAnsi="仿宋" w:eastAsia="仿宋" w:cs="仿宋"/>
          <w:b/>
          <w:sz w:val="24"/>
          <w:szCs w:val="24"/>
        </w:rPr>
        <w:t>七、</w:t>
      </w:r>
      <w:bookmarkEnd w:id="64"/>
      <w:r>
        <w:rPr>
          <w:rFonts w:hint="eastAsia" w:ascii="仿宋" w:hAnsi="仿宋" w:eastAsia="仿宋" w:cs="仿宋"/>
          <w:b/>
          <w:sz w:val="24"/>
          <w:szCs w:val="24"/>
        </w:rPr>
        <w:t>确定成交供应商</w:t>
      </w:r>
      <w:bookmarkEnd w:id="65"/>
    </w:p>
    <w:p>
      <w:pPr>
        <w:snapToGrid w:val="0"/>
        <w:spacing w:line="500" w:lineRule="exact"/>
        <w:rPr>
          <w:rFonts w:ascii="仿宋" w:hAnsi="仿宋" w:eastAsia="仿宋" w:cs="仿宋"/>
          <w:sz w:val="24"/>
          <w:szCs w:val="24"/>
        </w:rPr>
      </w:pPr>
      <w:r>
        <w:rPr>
          <w:rFonts w:hint="eastAsia" w:ascii="仿宋" w:hAnsi="仿宋" w:eastAsia="仿宋" w:cs="仿宋"/>
          <w:sz w:val="24"/>
          <w:szCs w:val="24"/>
        </w:rPr>
        <w:t>（一）确定成交供应商原则</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采购人或其授权的评标委员会应按照评标报告中推荐的中标候选人排名顺序确定成交供应商。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（二）确定成交供应商程序</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 采购代理机构应当在评标结束后2个工作日内将评标报告送采购人。</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2.采购人应当自收到评标报告之日起5个工作日内按评标报告推荐的中标候选人顺序确定成交供应商。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中标候选人并列的，由采购人或者采购人委托评标委员会按照技术需求的优劣顺序排列；技术需求优劣顺序相同的，按商务条款的优劣顺序排列确定成交供应商。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3.采购人或者采购代理机构应当自成交供应商确定之日起2个工作日内，在重庆市政府采购网上公告中标结果。中标公告期限为1个工作日。</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4.成交供应商变更</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拒绝与采购人签订合同的，采购人可以按照评标报告推荐的中标候选人顺序，确定排名下一位的候选人为成交供应商，也可以重新开展政府采购活动。</w:t>
      </w:r>
    </w:p>
    <w:p>
      <w:pPr>
        <w:spacing w:line="500" w:lineRule="exact"/>
        <w:outlineLvl w:val="1"/>
        <w:rPr>
          <w:rFonts w:ascii="仿宋" w:hAnsi="仿宋" w:eastAsia="仿宋" w:cs="仿宋"/>
          <w:b/>
          <w:sz w:val="24"/>
          <w:szCs w:val="24"/>
        </w:rPr>
      </w:pPr>
      <w:bookmarkStart w:id="66" w:name="_Toc80882058"/>
      <w:bookmarkStart w:id="67" w:name="_Toc27559"/>
      <w:r>
        <w:rPr>
          <w:rFonts w:hint="eastAsia" w:ascii="仿宋" w:hAnsi="仿宋" w:eastAsia="仿宋" w:cs="仿宋"/>
          <w:b/>
          <w:sz w:val="24"/>
          <w:szCs w:val="24"/>
        </w:rPr>
        <w:t>八、成交通知书</w:t>
      </w:r>
      <w:bookmarkEnd w:id="66"/>
      <w:bookmarkEnd w:id="67"/>
    </w:p>
    <w:p>
      <w:pPr>
        <w:spacing w:line="500" w:lineRule="exact"/>
        <w:ind w:firstLine="480"/>
        <w:rPr>
          <w:rFonts w:ascii="仿宋" w:hAnsi="仿宋" w:eastAsia="仿宋" w:cs="仿宋"/>
          <w:sz w:val="24"/>
          <w:szCs w:val="24"/>
        </w:rPr>
      </w:pPr>
      <w:r>
        <w:rPr>
          <w:rFonts w:hint="eastAsia" w:ascii="仿宋" w:hAnsi="仿宋" w:eastAsia="仿宋" w:cs="仿宋"/>
          <w:sz w:val="24"/>
          <w:szCs w:val="24"/>
        </w:rPr>
        <w:t>（一）依法确定成交供应商后，采购方以书面形式发出成交通知书。</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（二）成交通知书发出后，采购人改变成交供应商，或者成交供应商放弃的，应当承担相应的法律责任。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（三）《成交通知书》将作为签订合同的依据。</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（四）如有供应商对成交结果提出质疑的，在质疑处理完毕后发出成交通知书。</w:t>
      </w:r>
      <w:bookmarkStart w:id="68" w:name="_Toc25303"/>
    </w:p>
    <w:p>
      <w:pPr>
        <w:spacing w:line="500" w:lineRule="exact"/>
        <w:outlineLvl w:val="1"/>
        <w:rPr>
          <w:rFonts w:ascii="仿宋" w:hAnsi="仿宋" w:eastAsia="仿宋" w:cs="仿宋"/>
          <w:b/>
          <w:sz w:val="24"/>
          <w:szCs w:val="24"/>
        </w:rPr>
      </w:pPr>
      <w:bookmarkStart w:id="69" w:name="_Toc80882059"/>
      <w:r>
        <w:rPr>
          <w:rFonts w:hint="eastAsia" w:ascii="仿宋" w:hAnsi="仿宋" w:eastAsia="仿宋" w:cs="仿宋"/>
          <w:b/>
          <w:sz w:val="24"/>
          <w:szCs w:val="24"/>
        </w:rPr>
        <w:t>九、供应商对评审结果的质疑、投诉</w:t>
      </w:r>
      <w:bookmarkEnd w:id="68"/>
      <w:bookmarkEnd w:id="69"/>
    </w:p>
    <w:p>
      <w:pPr>
        <w:spacing w:line="500" w:lineRule="exact"/>
        <w:ind w:firstLine="482"/>
        <w:rPr>
          <w:rFonts w:ascii="仿宋" w:hAnsi="仿宋" w:eastAsia="仿宋" w:cs="仿宋"/>
          <w:sz w:val="24"/>
          <w:szCs w:val="24"/>
        </w:rPr>
      </w:pPr>
      <w:bookmarkStart w:id="70" w:name="_Toc11174"/>
      <w:r>
        <w:rPr>
          <w:rFonts w:hint="eastAsia" w:ascii="仿宋" w:hAnsi="仿宋" w:eastAsia="仿宋" w:cs="仿宋"/>
          <w:sz w:val="24"/>
          <w:szCs w:val="24"/>
        </w:rPr>
        <w:t>（一）质疑内容、时限</w:t>
      </w:r>
      <w:bookmarkEnd w:id="70"/>
    </w:p>
    <w:p>
      <w:pPr>
        <w:spacing w:line="500" w:lineRule="exact"/>
        <w:ind w:firstLine="482"/>
        <w:rPr>
          <w:rFonts w:ascii="仿宋" w:hAnsi="仿宋" w:eastAsia="仿宋" w:cs="仿宋"/>
          <w:sz w:val="24"/>
          <w:szCs w:val="24"/>
        </w:rPr>
      </w:pPr>
      <w:r>
        <w:rPr>
          <w:rFonts w:hint="eastAsia" w:ascii="仿宋" w:hAnsi="仿宋" w:eastAsia="仿宋" w:cs="仿宋"/>
          <w:sz w:val="24"/>
          <w:szCs w:val="24"/>
        </w:rPr>
        <w:t xml:space="preserve">1、供应商对磋商文件提出质疑，应在磋商文件公告（公告期为5个工作日）结束之日起七个工作日内以书面形式向采购人、采购机构提出质疑，并附相关证明材料。 </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2、供应商对成交结果有异议的，应当在成交公示发布之日起七个工作日内以书面形式向采购人、采购机构提出质疑，并附相关证明材料。</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3、供应商对采购文件中供应商特定资格条件、技术质量和商务要求、评审标准及评审细则有异议的，应主要向采购人提出质疑，其他问题可向交易中心提出质疑。</w:t>
      </w:r>
    </w:p>
    <w:p>
      <w:pPr>
        <w:spacing w:line="500" w:lineRule="exact"/>
        <w:ind w:firstLine="482"/>
        <w:rPr>
          <w:rFonts w:ascii="仿宋" w:hAnsi="仿宋" w:eastAsia="仿宋" w:cs="仿宋"/>
          <w:sz w:val="24"/>
          <w:szCs w:val="24"/>
        </w:rPr>
      </w:pPr>
      <w:bookmarkStart w:id="71" w:name="_Toc16117"/>
      <w:r>
        <w:rPr>
          <w:rFonts w:hint="eastAsia" w:ascii="仿宋" w:hAnsi="仿宋" w:eastAsia="仿宋" w:cs="仿宋"/>
          <w:sz w:val="24"/>
          <w:szCs w:val="24"/>
        </w:rPr>
        <w:t>（二）质疑答复时限</w:t>
      </w:r>
      <w:bookmarkEnd w:id="71"/>
    </w:p>
    <w:p>
      <w:pPr>
        <w:spacing w:line="500" w:lineRule="exact"/>
        <w:ind w:firstLine="482"/>
        <w:rPr>
          <w:rFonts w:ascii="仿宋" w:hAnsi="仿宋" w:eastAsia="仿宋" w:cs="仿宋"/>
          <w:sz w:val="24"/>
          <w:szCs w:val="24"/>
        </w:rPr>
      </w:pPr>
      <w:r>
        <w:rPr>
          <w:rFonts w:hint="eastAsia" w:ascii="仿宋" w:hAnsi="仿宋" w:eastAsia="仿宋" w:cs="仿宋"/>
          <w:sz w:val="24"/>
          <w:szCs w:val="24"/>
        </w:rPr>
        <w:t>采购人、采购机构在收到供应商书面质疑后七个工作日内，对质疑内容作出答复。</w:t>
      </w:r>
    </w:p>
    <w:p>
      <w:pPr>
        <w:spacing w:line="500" w:lineRule="exact"/>
        <w:ind w:firstLine="482"/>
        <w:rPr>
          <w:rFonts w:ascii="仿宋" w:hAnsi="仿宋" w:eastAsia="仿宋" w:cs="仿宋"/>
          <w:sz w:val="24"/>
          <w:szCs w:val="24"/>
        </w:rPr>
      </w:pPr>
      <w:bookmarkStart w:id="72" w:name="_Toc23379"/>
      <w:r>
        <w:rPr>
          <w:rFonts w:hint="eastAsia" w:ascii="仿宋" w:hAnsi="仿宋" w:eastAsia="仿宋" w:cs="仿宋"/>
          <w:sz w:val="24"/>
          <w:szCs w:val="24"/>
        </w:rPr>
        <w:t>（三）不予受理或暂缓受理</w:t>
      </w:r>
      <w:bookmarkEnd w:id="72"/>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1、质疑有下列情形之一的，不予受理：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（1）质疑供应商参与了投标活动后，再对招标文件内容提出质疑的；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（2）质疑超过有效期的；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（3）对同一事项重复质疑的。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2、质疑有下列情形之一的，应暂不受理并告知响应人补充材料。响应人及时补充材料的，应予受理；逾期未补充的，不予受理：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（1）质疑书格式和内容不符合国家或重庆市相关规定的；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（2）质疑书提供的依据或证明材料不全的；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（3）质疑书副本数量不足的。</w:t>
      </w:r>
    </w:p>
    <w:p>
      <w:pPr>
        <w:spacing w:line="500" w:lineRule="exact"/>
        <w:ind w:firstLine="482"/>
        <w:rPr>
          <w:rFonts w:ascii="仿宋" w:hAnsi="仿宋" w:eastAsia="仿宋" w:cs="仿宋"/>
          <w:sz w:val="24"/>
          <w:szCs w:val="24"/>
        </w:rPr>
      </w:pPr>
      <w:bookmarkStart w:id="73" w:name="_Toc29190"/>
      <w:r>
        <w:rPr>
          <w:rFonts w:hint="eastAsia" w:ascii="仿宋" w:hAnsi="仿宋" w:eastAsia="仿宋" w:cs="仿宋"/>
          <w:sz w:val="24"/>
          <w:szCs w:val="24"/>
        </w:rPr>
        <w:t>（四）投诉</w:t>
      </w:r>
      <w:bookmarkEnd w:id="73"/>
    </w:p>
    <w:p>
      <w:pPr>
        <w:spacing w:line="500" w:lineRule="exact"/>
        <w:ind w:firstLine="482"/>
        <w:rPr>
          <w:rFonts w:ascii="仿宋" w:hAnsi="仿宋" w:eastAsia="仿宋" w:cs="仿宋"/>
          <w:sz w:val="24"/>
          <w:szCs w:val="24"/>
        </w:rPr>
      </w:pPr>
      <w:r>
        <w:rPr>
          <w:rFonts w:hint="eastAsia" w:ascii="仿宋" w:hAnsi="仿宋" w:eastAsia="仿宋" w:cs="仿宋"/>
          <w:sz w:val="24"/>
          <w:szCs w:val="24"/>
        </w:rPr>
        <w:t>1、响应人对采购机构的答复不满意或者采购机构未在规定时间内答复的，可在答复期满后十五个工作日内按有关规定，向同级区财政投诉。</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2、在提出投诉时，应附送相关证明材料。投诉书及证明材料为外文的，应同时提供其中文译本；中文与外文意思不一致的，以中文为准。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pPr>
        <w:snapToGrid w:val="0"/>
        <w:spacing w:line="480" w:lineRule="exact"/>
        <w:outlineLvl w:val="1"/>
        <w:rPr>
          <w:rFonts w:ascii="仿宋" w:hAnsi="仿宋" w:eastAsia="仿宋" w:cs="仿宋"/>
          <w:b/>
          <w:sz w:val="24"/>
          <w:szCs w:val="24"/>
        </w:rPr>
      </w:pPr>
      <w:bookmarkStart w:id="74" w:name="_Toc80882060"/>
      <w:bookmarkStart w:id="75" w:name="_Toc24862"/>
      <w:r>
        <w:rPr>
          <w:rFonts w:hint="eastAsia" w:ascii="仿宋" w:hAnsi="仿宋" w:eastAsia="仿宋" w:cs="仿宋"/>
          <w:b/>
          <w:sz w:val="24"/>
          <w:szCs w:val="24"/>
        </w:rPr>
        <w:t>十、签订合同</w:t>
      </w:r>
      <w:bookmarkEnd w:id="74"/>
      <w:bookmarkEnd w:id="75"/>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（二）竞争性磋商文件、供应商的磋商响应文件及澄清文件等，均为签订政府采购合同的依据。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pPr>
        <w:snapToGrid w:val="0"/>
        <w:spacing w:line="380" w:lineRule="exact"/>
        <w:ind w:firstLine="480" w:firstLineChars="200"/>
        <w:rPr>
          <w:rFonts w:ascii="仿宋" w:hAnsi="仿宋" w:eastAsia="仿宋" w:cs="仿宋"/>
          <w:sz w:val="24"/>
          <w:szCs w:val="24"/>
        </w:rPr>
      </w:pPr>
    </w:p>
    <w:p>
      <w:pPr>
        <w:numPr>
          <w:ilvl w:val="0"/>
          <w:numId w:val="1"/>
        </w:numPr>
        <w:spacing w:line="360" w:lineRule="auto"/>
        <w:jc w:val="center"/>
        <w:outlineLvl w:val="0"/>
        <w:rPr>
          <w:rFonts w:ascii="仿宋" w:hAnsi="仿宋" w:eastAsia="仿宋" w:cs="仿宋"/>
          <w:b/>
          <w:bCs/>
          <w:sz w:val="36"/>
          <w:szCs w:val="30"/>
        </w:rPr>
      </w:pPr>
      <w:r>
        <w:rPr>
          <w:rFonts w:hint="eastAsia" w:ascii="仿宋" w:hAnsi="仿宋" w:eastAsia="仿宋" w:cs="仿宋"/>
          <w:sz w:val="24"/>
          <w:szCs w:val="24"/>
        </w:rPr>
        <w:br w:type="page"/>
      </w:r>
      <w:bookmarkStart w:id="76" w:name="_Toc80882061"/>
      <w:r>
        <w:rPr>
          <w:rFonts w:hint="eastAsia" w:ascii="仿宋" w:hAnsi="仿宋" w:eastAsia="仿宋" w:cs="仿宋"/>
          <w:b/>
          <w:bCs/>
          <w:sz w:val="36"/>
          <w:szCs w:val="30"/>
        </w:rPr>
        <w:t>采购技术需求</w:t>
      </w:r>
      <w:bookmarkEnd w:id="76"/>
    </w:p>
    <w:p>
      <w:pPr>
        <w:keepNext/>
        <w:keepLines/>
        <w:numPr>
          <w:ilvl w:val="0"/>
          <w:numId w:val="2"/>
        </w:numPr>
        <w:outlineLvl w:val="1"/>
        <w:rPr>
          <w:rFonts w:ascii="仿宋" w:hAnsi="仿宋" w:eastAsia="仿宋" w:cs="方正仿宋_GBK"/>
          <w:b/>
          <w:bCs/>
          <w:sz w:val="24"/>
          <w:szCs w:val="24"/>
        </w:rPr>
      </w:pPr>
      <w:bookmarkStart w:id="77" w:name="_Toc80882062"/>
      <w:r>
        <w:rPr>
          <w:rFonts w:hint="eastAsia" w:ascii="仿宋" w:hAnsi="仿宋" w:eastAsia="仿宋" w:cs="方正仿宋_GBK"/>
          <w:b/>
          <w:bCs/>
          <w:sz w:val="24"/>
          <w:szCs w:val="24"/>
        </w:rPr>
        <w:t>项目一览表</w:t>
      </w:r>
      <w:bookmarkEnd w:id="77"/>
    </w:p>
    <w:tbl>
      <w:tblPr>
        <w:tblStyle w:val="15"/>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93"/>
        <w:gridCol w:w="2126"/>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8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hint="eastAsia" w:ascii="仿宋" w:hAnsi="仿宋" w:eastAsia="仿宋"/>
                <w:b/>
                <w:sz w:val="30"/>
                <w:szCs w:val="30"/>
              </w:rPr>
              <w:t>（一）</w:t>
            </w:r>
            <w:r>
              <w:rPr>
                <w:rFonts w:ascii="仿宋" w:hAnsi="仿宋" w:eastAsia="仿宋"/>
                <w:b/>
                <w:sz w:val="30"/>
                <w:szCs w:val="30"/>
              </w:rPr>
              <w:t>主席台会标屏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序号</w:t>
            </w:r>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b/>
                <w:bCs/>
                <w:sz w:val="24"/>
                <w:szCs w:val="24"/>
              </w:rPr>
            </w:pPr>
            <w:r>
              <w:rPr>
                <w:rFonts w:ascii="仿宋" w:hAnsi="仿宋" w:eastAsia="仿宋"/>
                <w:b/>
                <w:bCs/>
                <w:sz w:val="24"/>
                <w:szCs w:val="24"/>
              </w:rPr>
              <w:t>产品名称（</w:t>
            </w:r>
            <w:r>
              <w:rPr>
                <w:rFonts w:ascii="仿宋" w:hAnsi="仿宋" w:eastAsia="仿宋"/>
                <w:b/>
                <w:bCs/>
                <w:iCs/>
                <w:sz w:val="24"/>
                <w:szCs w:val="24"/>
              </w:rPr>
              <w:t>设备名称</w:t>
            </w:r>
            <w:r>
              <w:rPr>
                <w:rFonts w:ascii="仿宋" w:hAnsi="仿宋" w:eastAsia="仿宋"/>
                <w:b/>
                <w:bCs/>
                <w:sz w:val="24"/>
                <w:szCs w:val="24"/>
              </w:rPr>
              <w:t>）</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b/>
                <w:bCs/>
                <w:sz w:val="24"/>
                <w:szCs w:val="24"/>
              </w:rPr>
            </w:pPr>
            <w:r>
              <w:rPr>
                <w:rFonts w:ascii="仿宋" w:hAnsi="仿宋" w:eastAsia="仿宋"/>
                <w:b/>
                <w:bCs/>
                <w:sz w:val="24"/>
                <w:szCs w:val="24"/>
              </w:rPr>
              <w:t>数量/单位</w:t>
            </w:r>
          </w:p>
        </w:tc>
        <w:tc>
          <w:tcPr>
            <w:tcW w:w="374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4"/>
                <w:szCs w:val="24"/>
              </w:rPr>
            </w:pPr>
            <w:r>
              <w:rPr>
                <w:rFonts w:ascii="仿宋" w:hAnsi="仿宋" w:eastAsia="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78" w:name="_Toc79151501"/>
            <w:bookmarkStart w:id="79" w:name="_Toc80882063"/>
            <w:bookmarkStart w:id="80" w:name="_Toc25763"/>
            <w:r>
              <w:rPr>
                <w:rFonts w:ascii="仿宋" w:hAnsi="仿宋" w:eastAsia="仿宋"/>
                <w:sz w:val="24"/>
                <w:szCs w:val="24"/>
              </w:rPr>
              <w:t>1</w:t>
            </w:r>
            <w:bookmarkEnd w:id="78"/>
            <w:bookmarkEnd w:id="79"/>
            <w:bookmarkEnd w:id="80"/>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 xml:space="preserve">P10 </w:t>
            </w:r>
            <w:r>
              <w:rPr>
                <w:rFonts w:hint="eastAsia" w:ascii="仿宋" w:hAnsi="仿宋" w:eastAsia="仿宋"/>
                <w:sz w:val="24"/>
                <w:szCs w:val="24"/>
              </w:rPr>
              <w:t>单红会标屏</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32.67</w:t>
            </w:r>
            <w:r>
              <w:rPr>
                <w:rFonts w:hint="eastAsia" w:ascii="仿宋" w:hAnsi="仿宋" w:eastAsia="仿宋"/>
                <w:sz w:val="24"/>
                <w:szCs w:val="24"/>
              </w:rPr>
              <w:t>㎡</w:t>
            </w:r>
          </w:p>
        </w:tc>
        <w:tc>
          <w:tcPr>
            <w:tcW w:w="3745" w:type="dxa"/>
            <w:vMerge w:val="restart"/>
            <w:tcBorders>
              <w:top w:val="single" w:color="auto" w:sz="4" w:space="0"/>
              <w:left w:val="nil"/>
              <w:bottom w:val="single" w:color="auto" w:sz="4" w:space="0"/>
              <w:right w:val="single" w:color="auto" w:sz="4" w:space="0"/>
            </w:tcBorders>
            <w:vAlign w:val="center"/>
          </w:tcPr>
          <w:p>
            <w:pPr>
              <w:rPr>
                <w:rFonts w:ascii="仿宋" w:hAnsi="仿宋" w:eastAsia="仿宋"/>
                <w:sz w:val="24"/>
                <w:szCs w:val="24"/>
              </w:rPr>
            </w:pPr>
            <w:bookmarkStart w:id="81" w:name="_Hlk77531364"/>
            <w:r>
              <w:rPr>
                <w:rFonts w:hint="eastAsia" w:ascii="仿宋" w:hAnsi="仿宋" w:eastAsia="仿宋"/>
                <w:sz w:val="24"/>
                <w:szCs w:val="24"/>
              </w:rPr>
              <w:t>1．</w:t>
            </w:r>
            <w:r>
              <w:rPr>
                <w:rFonts w:ascii="仿宋" w:hAnsi="仿宋" w:eastAsia="仿宋"/>
                <w:sz w:val="24"/>
                <w:szCs w:val="24"/>
              </w:rPr>
              <w:t xml:space="preserve">P10 </w:t>
            </w:r>
            <w:r>
              <w:rPr>
                <w:rFonts w:hint="eastAsia" w:ascii="仿宋" w:hAnsi="仿宋" w:eastAsia="仿宋"/>
                <w:sz w:val="24"/>
                <w:szCs w:val="24"/>
              </w:rPr>
              <w:t>单红会标屏：显示面积≥宽18.56m*高1.76m；像素点间距 ≤10mm；像素点密度 ≥10000 点/㎡；平均无故障时间 ≥</w:t>
            </w:r>
            <w:r>
              <w:rPr>
                <w:rFonts w:ascii="仿宋" w:hAnsi="仿宋" w:eastAsia="仿宋"/>
                <w:sz w:val="24"/>
                <w:szCs w:val="24"/>
              </w:rPr>
              <w:t>2</w:t>
            </w:r>
            <w:r>
              <w:rPr>
                <w:rFonts w:hint="eastAsia" w:ascii="仿宋" w:hAnsi="仿宋" w:eastAsia="仿宋"/>
                <w:sz w:val="24"/>
                <w:szCs w:val="24"/>
              </w:rPr>
              <w:t>0000h；</w:t>
            </w:r>
            <w:bookmarkStart w:id="82" w:name="_Hlk77607780"/>
            <w:r>
              <w:rPr>
                <w:rFonts w:hint="eastAsia" w:ascii="仿宋" w:hAnsi="仿宋" w:eastAsia="仿宋"/>
                <w:sz w:val="24"/>
                <w:szCs w:val="24"/>
              </w:rPr>
              <w:t>像素组成</w:t>
            </w:r>
            <w:r>
              <w:rPr>
                <w:rFonts w:hint="eastAsia" w:ascii="仿宋" w:hAnsi="仿宋" w:eastAsia="仿宋"/>
                <w:sz w:val="24"/>
                <w:szCs w:val="24"/>
              </w:rPr>
              <w:tab/>
            </w:r>
            <w:r>
              <w:rPr>
                <w:rFonts w:hint="eastAsia" w:ascii="仿宋" w:hAnsi="仿宋" w:eastAsia="仿宋"/>
                <w:sz w:val="24"/>
                <w:szCs w:val="24"/>
              </w:rPr>
              <w:t>1R；白平衡亮度（nits）≥1500；水平视角（ °）≥</w:t>
            </w:r>
            <w:r>
              <w:rPr>
                <w:rFonts w:ascii="仿宋" w:hAnsi="仿宋" w:eastAsia="仿宋"/>
                <w:sz w:val="24"/>
                <w:szCs w:val="24"/>
              </w:rPr>
              <w:t>120</w:t>
            </w:r>
            <w:r>
              <w:rPr>
                <w:rFonts w:hint="eastAsia" w:ascii="仿宋" w:hAnsi="仿宋" w:eastAsia="仿宋"/>
                <w:sz w:val="24"/>
                <w:szCs w:val="24"/>
              </w:rPr>
              <w:t>；</w:t>
            </w:r>
          </w:p>
          <w:p>
            <w:pPr>
              <w:rPr>
                <w:rFonts w:ascii="仿宋" w:hAnsi="仿宋" w:eastAsia="仿宋"/>
                <w:sz w:val="24"/>
                <w:szCs w:val="24"/>
              </w:rPr>
            </w:pPr>
            <w:r>
              <w:rPr>
                <w:rFonts w:hint="eastAsia" w:ascii="仿宋" w:hAnsi="仿宋" w:eastAsia="仿宋"/>
                <w:sz w:val="24"/>
                <w:szCs w:val="24"/>
              </w:rPr>
              <w:t>垂直视角（ °）≥</w:t>
            </w:r>
            <w:r>
              <w:rPr>
                <w:rFonts w:ascii="仿宋" w:hAnsi="仿宋" w:eastAsia="仿宋"/>
                <w:sz w:val="24"/>
                <w:szCs w:val="24"/>
              </w:rPr>
              <w:t>60</w:t>
            </w:r>
            <w:r>
              <w:rPr>
                <w:rFonts w:hint="eastAsia" w:ascii="仿宋" w:hAnsi="仿宋" w:eastAsia="仿宋"/>
                <w:sz w:val="24"/>
                <w:szCs w:val="24"/>
              </w:rPr>
              <w:t>；使用环境：户外；使用寿命≥1</w:t>
            </w:r>
            <w:r>
              <w:rPr>
                <w:rFonts w:ascii="仿宋" w:hAnsi="仿宋" w:eastAsia="仿宋"/>
                <w:sz w:val="24"/>
                <w:szCs w:val="24"/>
              </w:rPr>
              <w:t>00000</w:t>
            </w:r>
            <w:r>
              <w:rPr>
                <w:rFonts w:hint="eastAsia" w:ascii="仿宋" w:hAnsi="仿宋" w:eastAsia="仿宋"/>
                <w:sz w:val="24"/>
                <w:szCs w:val="24"/>
              </w:rPr>
              <w:t>；工作温度范围：-</w:t>
            </w:r>
            <w:r>
              <w:rPr>
                <w:rFonts w:ascii="仿宋" w:hAnsi="仿宋" w:eastAsia="仿宋"/>
                <w:sz w:val="24"/>
                <w:szCs w:val="24"/>
              </w:rPr>
              <w:t>25</w:t>
            </w:r>
            <w:r>
              <w:rPr>
                <w:rFonts w:hint="eastAsia" w:ascii="仿宋" w:hAnsi="仿宋" w:eastAsia="仿宋"/>
                <w:sz w:val="24"/>
                <w:szCs w:val="24"/>
              </w:rPr>
              <w:t>~</w:t>
            </w:r>
            <w:r>
              <w:rPr>
                <w:rFonts w:ascii="仿宋" w:hAnsi="仿宋" w:eastAsia="仿宋"/>
                <w:sz w:val="24"/>
                <w:szCs w:val="24"/>
              </w:rPr>
              <w:t>55</w:t>
            </w:r>
            <w:r>
              <w:rPr>
                <w:rFonts w:hint="eastAsia" w:ascii="仿宋" w:hAnsi="仿宋" w:eastAsia="仿宋"/>
                <w:sz w:val="24"/>
                <w:szCs w:val="24"/>
              </w:rPr>
              <w:t>度；驱动方式采用12v恒流驱动；平均功耗应小于300w/平方；防水防尘等级应大于等于ip65；控制方式采用异步方式。</w:t>
            </w:r>
          </w:p>
          <w:bookmarkEnd w:id="82"/>
          <w:p>
            <w:pPr>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显示屏框架：显示屏矩管框架，铝材边框装饰，现场定制；</w:t>
            </w:r>
          </w:p>
          <w:p>
            <w:pPr>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 xml:space="preserve"> 布线等包含电缆线及网线等：前端总配电柜到显示屏安装位置，控制电脑到显示屏安装位置，穿管沿墙面走线</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3" w:name="_Toc15537"/>
            <w:bookmarkStart w:id="84" w:name="_Toc79151502"/>
            <w:bookmarkStart w:id="85" w:name="_Toc80882064"/>
            <w:r>
              <w:rPr>
                <w:rFonts w:ascii="仿宋" w:hAnsi="仿宋" w:eastAsia="仿宋"/>
                <w:sz w:val="24"/>
                <w:szCs w:val="24"/>
              </w:rPr>
              <w:t>2</w:t>
            </w:r>
            <w:bookmarkEnd w:id="83"/>
            <w:bookmarkEnd w:id="84"/>
            <w:bookmarkEnd w:id="85"/>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电源</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依屏体需要而定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6" w:name="_Toc21672"/>
            <w:bookmarkStart w:id="87" w:name="_Toc80882065"/>
            <w:bookmarkStart w:id="88" w:name="_Toc79151503"/>
            <w:r>
              <w:rPr>
                <w:rFonts w:ascii="仿宋" w:hAnsi="仿宋" w:eastAsia="仿宋"/>
                <w:sz w:val="24"/>
                <w:szCs w:val="24"/>
              </w:rPr>
              <w:t>3</w:t>
            </w:r>
            <w:bookmarkEnd w:id="86"/>
            <w:bookmarkEnd w:id="87"/>
            <w:bookmarkEnd w:id="88"/>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显示屏框架</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4.71</w:t>
            </w:r>
            <w:r>
              <w:rPr>
                <w:rFonts w:hint="eastAsia" w:ascii="仿宋" w:hAnsi="仿宋" w:eastAsia="仿宋"/>
                <w:sz w:val="24"/>
                <w:szCs w:val="24"/>
              </w:rPr>
              <w:t>㎡</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89" w:name="_Toc79151504"/>
            <w:bookmarkStart w:id="90" w:name="_Toc80882066"/>
            <w:bookmarkStart w:id="91" w:name="_Toc26767"/>
            <w:r>
              <w:rPr>
                <w:rFonts w:ascii="仿宋" w:hAnsi="仿宋" w:eastAsia="仿宋"/>
                <w:sz w:val="24"/>
                <w:szCs w:val="24"/>
              </w:rPr>
              <w:t>4</w:t>
            </w:r>
            <w:bookmarkEnd w:id="89"/>
            <w:bookmarkEnd w:id="90"/>
            <w:bookmarkEnd w:id="91"/>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控制卡</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满足至少两个控制端可控</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2" w:name="_Toc9445"/>
            <w:bookmarkStart w:id="93" w:name="_Toc80882067"/>
            <w:bookmarkStart w:id="94" w:name="_Toc79151505"/>
            <w:r>
              <w:rPr>
                <w:rFonts w:hint="eastAsia" w:ascii="仿宋" w:hAnsi="仿宋" w:eastAsia="仿宋"/>
                <w:sz w:val="24"/>
                <w:szCs w:val="24"/>
              </w:rPr>
              <w:t>5</w:t>
            </w:r>
            <w:bookmarkEnd w:id="92"/>
            <w:bookmarkEnd w:id="93"/>
            <w:bookmarkEnd w:id="94"/>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转接板</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5" w:name="_Toc79151506"/>
            <w:bookmarkStart w:id="96" w:name="_Toc80882068"/>
            <w:bookmarkStart w:id="97" w:name="_Toc9585"/>
            <w:r>
              <w:rPr>
                <w:rFonts w:hint="eastAsia" w:ascii="仿宋" w:hAnsi="仿宋" w:eastAsia="仿宋"/>
                <w:sz w:val="24"/>
                <w:szCs w:val="24"/>
              </w:rPr>
              <w:t>6</w:t>
            </w:r>
            <w:bookmarkEnd w:id="95"/>
            <w:bookmarkEnd w:id="96"/>
            <w:bookmarkEnd w:id="97"/>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线材/辅材</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98" w:name="_Toc79151507"/>
            <w:bookmarkStart w:id="99" w:name="_Toc27158"/>
            <w:bookmarkStart w:id="100" w:name="_Toc80882069"/>
            <w:r>
              <w:rPr>
                <w:rFonts w:hint="eastAsia" w:ascii="仿宋" w:hAnsi="仿宋" w:eastAsia="仿宋"/>
                <w:sz w:val="24"/>
                <w:szCs w:val="24"/>
              </w:rPr>
              <w:t>7</w:t>
            </w:r>
            <w:bookmarkEnd w:id="98"/>
            <w:bookmarkEnd w:id="99"/>
            <w:bookmarkEnd w:id="100"/>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配电箱</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1台</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101" w:name="_Toc79151508"/>
            <w:bookmarkStart w:id="102" w:name="_Toc21628"/>
            <w:bookmarkStart w:id="103" w:name="_Toc80882070"/>
            <w:r>
              <w:rPr>
                <w:rFonts w:hint="eastAsia" w:ascii="仿宋" w:hAnsi="仿宋" w:eastAsia="仿宋"/>
                <w:sz w:val="24"/>
                <w:szCs w:val="24"/>
              </w:rPr>
              <w:t>8</w:t>
            </w:r>
            <w:bookmarkEnd w:id="101"/>
            <w:bookmarkEnd w:id="102"/>
            <w:bookmarkEnd w:id="103"/>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电缆线</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布线距离暂估120米；具体长度依具体施工、安装方案确定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jc w:val="center"/>
              <w:outlineLvl w:val="0"/>
              <w:rPr>
                <w:rFonts w:ascii="仿宋" w:hAnsi="仿宋" w:eastAsia="仿宋"/>
                <w:sz w:val="24"/>
                <w:szCs w:val="24"/>
              </w:rPr>
            </w:pPr>
            <w:bookmarkStart w:id="104" w:name="_Toc79151509"/>
            <w:bookmarkStart w:id="105" w:name="_Toc2747"/>
            <w:bookmarkStart w:id="106" w:name="_Toc80882071"/>
            <w:r>
              <w:rPr>
                <w:rFonts w:hint="eastAsia" w:ascii="仿宋" w:hAnsi="仿宋" w:eastAsia="仿宋"/>
                <w:sz w:val="24"/>
                <w:szCs w:val="24"/>
              </w:rPr>
              <w:t>9</w:t>
            </w:r>
            <w:bookmarkEnd w:id="104"/>
            <w:bookmarkEnd w:id="105"/>
            <w:bookmarkEnd w:id="106"/>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电缆线 布线管道与人工</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1项</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120" w:firstLineChars="50"/>
              <w:jc w:val="center"/>
              <w:outlineLvl w:val="0"/>
              <w:rPr>
                <w:rFonts w:ascii="仿宋" w:hAnsi="仿宋" w:eastAsia="仿宋"/>
                <w:sz w:val="24"/>
                <w:szCs w:val="24"/>
              </w:rPr>
            </w:pPr>
            <w:bookmarkStart w:id="107" w:name="_Toc27736"/>
            <w:bookmarkStart w:id="108" w:name="_Toc80882072"/>
            <w:bookmarkStart w:id="109" w:name="_Toc79151510"/>
            <w:r>
              <w:rPr>
                <w:rFonts w:hint="eastAsia" w:ascii="仿宋" w:hAnsi="仿宋" w:eastAsia="仿宋"/>
                <w:sz w:val="24"/>
                <w:szCs w:val="24"/>
              </w:rPr>
              <w:t>1</w:t>
            </w:r>
            <w:r>
              <w:rPr>
                <w:rFonts w:ascii="仿宋" w:hAnsi="仿宋" w:eastAsia="仿宋"/>
                <w:sz w:val="24"/>
                <w:szCs w:val="24"/>
              </w:rPr>
              <w:t>0</w:t>
            </w:r>
            <w:bookmarkEnd w:id="107"/>
            <w:bookmarkEnd w:id="108"/>
            <w:bookmarkEnd w:id="109"/>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其他</w:t>
            </w:r>
          </w:p>
        </w:tc>
        <w:tc>
          <w:tcPr>
            <w:tcW w:w="2126"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依施工需要而定</w:t>
            </w:r>
          </w:p>
        </w:tc>
        <w:tc>
          <w:tcPr>
            <w:tcW w:w="3745"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284"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30"/>
                <w:szCs w:val="30"/>
              </w:rPr>
            </w:pPr>
            <w:r>
              <w:rPr>
                <w:rFonts w:hint="eastAsia" w:ascii="仿宋" w:hAnsi="仿宋" w:eastAsia="仿宋"/>
                <w:b/>
                <w:sz w:val="30"/>
                <w:szCs w:val="30"/>
              </w:rPr>
              <w:t>（二）</w:t>
            </w:r>
            <w:r>
              <w:rPr>
                <w:rFonts w:ascii="仿宋" w:hAnsi="仿宋" w:eastAsia="仿宋"/>
                <w:b/>
                <w:sz w:val="30"/>
                <w:szCs w:val="30"/>
              </w:rPr>
              <w:t>看台标识字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序号</w:t>
            </w:r>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产品名称（</w:t>
            </w:r>
            <w:r>
              <w:rPr>
                <w:rFonts w:ascii="仿宋" w:hAnsi="仿宋" w:eastAsia="仿宋"/>
                <w:b/>
                <w:bCs/>
                <w:iCs/>
                <w:sz w:val="21"/>
                <w:szCs w:val="21"/>
              </w:rPr>
              <w:t>设备名称</w:t>
            </w:r>
            <w:r>
              <w:rPr>
                <w:rFonts w:ascii="仿宋" w:hAnsi="仿宋" w:eastAsia="仿宋"/>
                <w:b/>
                <w:bCs/>
                <w:sz w:val="21"/>
                <w:szCs w:val="21"/>
              </w:rPr>
              <w:t>）</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数量/单位</w:t>
            </w:r>
          </w:p>
        </w:tc>
        <w:tc>
          <w:tcPr>
            <w:tcW w:w="3745" w:type="dxa"/>
            <w:tcBorders>
              <w:top w:val="single" w:color="auto" w:sz="4" w:space="0"/>
              <w:left w:val="nil"/>
              <w:bottom w:val="single" w:color="auto" w:sz="4" w:space="0"/>
              <w:right w:val="single" w:color="auto" w:sz="4" w:space="0"/>
            </w:tcBorders>
            <w:vAlign w:val="center"/>
          </w:tcPr>
          <w:p>
            <w:pPr>
              <w:jc w:val="center"/>
              <w:rPr>
                <w:rFonts w:ascii="仿宋" w:hAnsi="仿宋" w:eastAsia="仿宋"/>
                <w:b/>
                <w:bCs/>
                <w:sz w:val="21"/>
                <w:szCs w:val="21"/>
              </w:rPr>
            </w:pPr>
            <w:r>
              <w:rPr>
                <w:rFonts w:ascii="仿宋" w:hAnsi="仿宋" w:eastAsia="仿宋"/>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240" w:firstLineChars="100"/>
              <w:outlineLvl w:val="0"/>
              <w:rPr>
                <w:rFonts w:ascii="仿宋" w:hAnsi="仿宋" w:eastAsia="仿宋"/>
                <w:sz w:val="24"/>
                <w:szCs w:val="24"/>
              </w:rPr>
            </w:pPr>
            <w:bookmarkStart w:id="110" w:name="_Toc19550"/>
            <w:bookmarkStart w:id="111" w:name="_Toc79151511"/>
            <w:bookmarkStart w:id="112" w:name="_Toc80882073"/>
            <w:r>
              <w:rPr>
                <w:rFonts w:ascii="仿宋" w:hAnsi="仿宋" w:eastAsia="仿宋"/>
                <w:sz w:val="24"/>
                <w:szCs w:val="24"/>
              </w:rPr>
              <w:t>1</w:t>
            </w:r>
            <w:bookmarkEnd w:id="110"/>
            <w:bookmarkEnd w:id="111"/>
            <w:bookmarkEnd w:id="112"/>
          </w:p>
        </w:tc>
        <w:tc>
          <w:tcPr>
            <w:tcW w:w="1593"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广告字-立体造型</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字</w:t>
            </w:r>
          </w:p>
        </w:tc>
        <w:tc>
          <w:tcPr>
            <w:tcW w:w="3745"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广告字-立体造型与支撑钢架结构均</w:t>
            </w:r>
            <w:r>
              <w:rPr>
                <w:rFonts w:ascii="仿宋" w:hAnsi="仿宋" w:eastAsia="仿宋"/>
                <w:sz w:val="24"/>
                <w:szCs w:val="24"/>
              </w:rPr>
              <w:t>为核心产品；</w:t>
            </w:r>
          </w:p>
          <w:p>
            <w:pPr>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广告字-立体造型内容为：享受乐趣 增强体质  健全人格 锤炼意志 ；</w:t>
            </w:r>
          </w:p>
          <w:p>
            <w:pPr>
              <w:jc w:val="left"/>
              <w:rPr>
                <w:rFonts w:ascii="仿宋" w:hAnsi="仿宋" w:eastAsia="仿宋"/>
                <w:sz w:val="24"/>
                <w:szCs w:val="24"/>
              </w:rPr>
            </w:pPr>
            <w:r>
              <w:rPr>
                <w:rFonts w:hint="eastAsia" w:ascii="仿宋" w:hAnsi="仿宋" w:eastAsia="仿宋"/>
                <w:sz w:val="24"/>
                <w:szCs w:val="24"/>
              </w:rPr>
              <w:t xml:space="preserve">3．字体：方正粗黑宋简体；                            </w:t>
            </w:r>
            <w:r>
              <w:rPr>
                <w:rFonts w:ascii="仿宋" w:hAnsi="仿宋" w:eastAsia="仿宋"/>
                <w:sz w:val="24"/>
                <w:szCs w:val="24"/>
              </w:rPr>
              <w:t xml:space="preserve">4. </w:t>
            </w:r>
            <w:r>
              <w:rPr>
                <w:rFonts w:hint="eastAsia" w:ascii="仿宋" w:hAnsi="仿宋" w:eastAsia="仿宋"/>
                <w:sz w:val="24"/>
                <w:szCs w:val="24"/>
              </w:rPr>
              <w:t xml:space="preserve">规格：正面字体约高≥2m（宽依字体自然放大按比例而定），侧面厚度≥15cm，背部需用镀锌板封成立体； </w:t>
            </w:r>
          </w:p>
          <w:p>
            <w:pPr>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 xml:space="preserve">广告字材质：镀锌钢板；                      </w:t>
            </w:r>
            <w:r>
              <w:rPr>
                <w:rFonts w:ascii="仿宋" w:hAnsi="仿宋" w:eastAsia="仿宋"/>
                <w:sz w:val="24"/>
                <w:szCs w:val="24"/>
              </w:rPr>
              <w:t xml:space="preserve">6. </w:t>
            </w:r>
            <w:r>
              <w:rPr>
                <w:rFonts w:hint="eastAsia" w:ascii="仿宋" w:hAnsi="仿宋" w:eastAsia="仿宋"/>
                <w:sz w:val="24"/>
                <w:szCs w:val="24"/>
              </w:rPr>
              <w:t>制作工艺：文字正面采用≥3mm镀锌板激光切割，侧边及背面采用≥1.5mm镀锌板焊接，表面红色烤漆处理。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pStyle w:val="3"/>
              <w:ind w:left="0" w:firstLine="240" w:firstLineChars="100"/>
              <w:outlineLvl w:val="0"/>
              <w:rPr>
                <w:rFonts w:ascii="仿宋" w:hAnsi="仿宋" w:eastAsia="仿宋"/>
                <w:sz w:val="24"/>
                <w:szCs w:val="24"/>
              </w:rPr>
            </w:pPr>
            <w:bookmarkStart w:id="113" w:name="_Toc80882074"/>
            <w:bookmarkStart w:id="114" w:name="_Toc10215"/>
            <w:bookmarkStart w:id="115" w:name="_Toc79151512"/>
            <w:r>
              <w:rPr>
                <w:rFonts w:ascii="仿宋" w:hAnsi="仿宋" w:eastAsia="仿宋"/>
                <w:sz w:val="24"/>
                <w:szCs w:val="24"/>
              </w:rPr>
              <w:t>2</w:t>
            </w:r>
            <w:bookmarkEnd w:id="113"/>
            <w:bookmarkEnd w:id="114"/>
            <w:bookmarkEnd w:id="115"/>
          </w:p>
        </w:tc>
        <w:tc>
          <w:tcPr>
            <w:tcW w:w="1593" w:type="dxa"/>
            <w:tcBorders>
              <w:top w:val="single" w:color="auto" w:sz="4" w:space="0"/>
              <w:left w:val="nil"/>
              <w:bottom w:val="single" w:color="auto" w:sz="4" w:space="0"/>
              <w:right w:val="single" w:color="auto" w:sz="4" w:space="0"/>
            </w:tcBorders>
            <w:vAlign w:val="center"/>
          </w:tcPr>
          <w:p>
            <w:pPr>
              <w:jc w:val="left"/>
              <w:rPr>
                <w:rFonts w:ascii="仿宋" w:hAnsi="仿宋" w:eastAsia="仿宋"/>
                <w:sz w:val="24"/>
                <w:szCs w:val="24"/>
              </w:rPr>
            </w:pPr>
            <w:r>
              <w:rPr>
                <w:rFonts w:hint="eastAsia" w:ascii="仿宋" w:hAnsi="仿宋" w:eastAsia="仿宋"/>
                <w:sz w:val="24"/>
                <w:szCs w:val="24"/>
              </w:rPr>
              <w:t>支撑钢架结构+字体背架</w:t>
            </w:r>
          </w:p>
        </w:tc>
        <w:tc>
          <w:tcPr>
            <w:tcW w:w="2126"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6</w:t>
            </w:r>
            <w:r>
              <w:rPr>
                <w:rFonts w:hint="eastAsia" w:ascii="仿宋" w:hAnsi="仿宋" w:eastAsia="仿宋"/>
                <w:sz w:val="24"/>
                <w:szCs w:val="24"/>
              </w:rPr>
              <w:t>套</w:t>
            </w:r>
          </w:p>
        </w:tc>
        <w:tc>
          <w:tcPr>
            <w:tcW w:w="374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结构需保证安全稳定性</w:t>
            </w:r>
          </w:p>
          <w:p>
            <w:pPr>
              <w:widowControl/>
              <w:jc w:val="left"/>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荷载须满足承载力要求；</w:t>
            </w:r>
          </w:p>
          <w:p>
            <w:pPr>
              <w:widowControl/>
              <w:jc w:val="left"/>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合理考虑抗风压等问题。</w:t>
            </w:r>
          </w:p>
          <w:p>
            <w:pPr>
              <w:widowControl/>
              <w:jc w:val="left"/>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w:t>
            </w:r>
            <w:r>
              <w:rPr>
                <w:rFonts w:hint="eastAsia" w:ascii="仿宋" w:hAnsi="仿宋" w:eastAsia="仿宋"/>
                <w:sz w:val="24"/>
                <w:szCs w:val="24"/>
              </w:rPr>
              <w:t>用电和防雷满足相关规范要求</w:t>
            </w:r>
          </w:p>
          <w:p>
            <w:pPr>
              <w:widowControl/>
              <w:jc w:val="left"/>
              <w:rPr>
                <w:rFonts w:ascii="仿宋" w:hAnsi="仿宋" w:eastAsia="仿宋"/>
                <w:sz w:val="24"/>
                <w:szCs w:val="24"/>
              </w:rPr>
            </w:pPr>
            <w:r>
              <w:rPr>
                <w:rFonts w:hint="eastAsia" w:ascii="仿宋" w:hAnsi="仿宋" w:eastAsia="仿宋"/>
                <w:sz w:val="24"/>
                <w:szCs w:val="24"/>
              </w:rPr>
              <w:t>5.能与周围环境协调一致</w:t>
            </w:r>
          </w:p>
        </w:tc>
      </w:tr>
    </w:tbl>
    <w:p>
      <w:pPr>
        <w:keepNext/>
        <w:keepLines/>
        <w:outlineLvl w:val="1"/>
        <w:rPr>
          <w:rFonts w:ascii="仿宋" w:hAnsi="仿宋" w:eastAsia="仿宋" w:cs="方正仿宋_GBK"/>
          <w:b/>
          <w:bCs/>
          <w:sz w:val="24"/>
          <w:szCs w:val="24"/>
        </w:rPr>
      </w:pPr>
    </w:p>
    <w:p>
      <w:pPr>
        <w:keepNext/>
        <w:keepLines/>
        <w:outlineLvl w:val="1"/>
        <w:rPr>
          <w:rFonts w:ascii="仿宋" w:hAnsi="仿宋" w:eastAsia="仿宋" w:cs="仿宋"/>
          <w:b/>
          <w:bCs/>
          <w:sz w:val="24"/>
          <w:szCs w:val="24"/>
        </w:rPr>
      </w:pPr>
      <w:bookmarkStart w:id="116" w:name="_Toc80882075"/>
      <w:r>
        <w:rPr>
          <w:rFonts w:hint="eastAsia" w:ascii="仿宋" w:hAnsi="仿宋" w:eastAsia="仿宋" w:cs="方正仿宋_GBK"/>
          <w:b/>
          <w:bCs/>
          <w:sz w:val="24"/>
          <w:szCs w:val="24"/>
        </w:rPr>
        <w:t>二、项目技术需求</w:t>
      </w:r>
      <w:bookmarkEnd w:id="116"/>
    </w:p>
    <w:p>
      <w:pPr>
        <w:spacing w:line="400" w:lineRule="exact"/>
        <w:ind w:firstLine="482" w:firstLineChars="200"/>
        <w:outlineLvl w:val="2"/>
        <w:rPr>
          <w:rFonts w:ascii="仿宋" w:hAnsi="仿宋" w:eastAsia="仿宋"/>
          <w:b/>
          <w:sz w:val="24"/>
          <w:szCs w:val="24"/>
        </w:rPr>
      </w:pPr>
      <w:bookmarkStart w:id="117" w:name="_Toc80882076"/>
      <w:bookmarkStart w:id="118" w:name="_Toc79151514"/>
      <w:bookmarkStart w:id="119" w:name="_Toc16286"/>
      <w:r>
        <w:rPr>
          <w:rFonts w:ascii="仿宋" w:hAnsi="仿宋" w:eastAsia="仿宋"/>
          <w:b/>
          <w:sz w:val="24"/>
          <w:szCs w:val="24"/>
        </w:rPr>
        <w:t>“*”标注的技术需求为重要技术需求，若不满足将按照评标因素中相关规定处理。</w:t>
      </w:r>
      <w:bookmarkEnd w:id="117"/>
      <w:bookmarkEnd w:id="118"/>
      <w:bookmarkEnd w:id="119"/>
    </w:p>
    <w:p>
      <w:pPr>
        <w:spacing w:line="400" w:lineRule="exact"/>
        <w:ind w:firstLine="482" w:firstLineChars="200"/>
        <w:outlineLvl w:val="2"/>
        <w:rPr>
          <w:rFonts w:ascii="仿宋" w:hAnsi="仿宋" w:eastAsia="仿宋"/>
          <w:b/>
          <w:sz w:val="24"/>
          <w:szCs w:val="24"/>
        </w:rPr>
      </w:pPr>
      <w:bookmarkStart w:id="120" w:name="_Toc79151515"/>
      <w:bookmarkStart w:id="121" w:name="_Toc2606"/>
      <w:bookmarkStart w:id="122" w:name="_Toc80882077"/>
      <w:r>
        <w:rPr>
          <w:rFonts w:ascii="仿宋" w:hAnsi="仿宋" w:eastAsia="仿宋"/>
          <w:b/>
          <w:sz w:val="24"/>
          <w:szCs w:val="24"/>
        </w:rPr>
        <w:t>“</w:t>
      </w:r>
      <w:bookmarkStart w:id="123" w:name="_Hlk77531508"/>
      <w:r>
        <w:rPr>
          <w:rFonts w:ascii="仿宋" w:hAnsi="仿宋" w:eastAsia="仿宋" w:cs="宋体"/>
          <w:b/>
          <w:kern w:val="0"/>
          <w:sz w:val="24"/>
          <w:szCs w:val="24"/>
        </w:rPr>
        <w:t>※</w:t>
      </w:r>
      <w:bookmarkEnd w:id="123"/>
      <w:r>
        <w:rPr>
          <w:rFonts w:ascii="仿宋" w:hAnsi="仿宋" w:eastAsia="仿宋"/>
          <w:b/>
          <w:sz w:val="24"/>
          <w:szCs w:val="24"/>
        </w:rPr>
        <w:t>”标注的技术需求为符合性审查中的实质性要求，若不满足按无效投标处理。</w:t>
      </w:r>
      <w:bookmarkEnd w:id="120"/>
      <w:bookmarkEnd w:id="121"/>
      <w:bookmarkEnd w:id="122"/>
    </w:p>
    <w:p>
      <w:pPr>
        <w:pStyle w:val="23"/>
        <w:spacing w:line="400" w:lineRule="exact"/>
        <w:ind w:firstLine="482"/>
        <w:rPr>
          <w:rFonts w:ascii="仿宋" w:hAnsi="仿宋" w:eastAsia="仿宋"/>
          <w:b/>
          <w:sz w:val="24"/>
          <w:szCs w:val="24"/>
        </w:rPr>
      </w:pPr>
      <w:r>
        <w:rPr>
          <w:rFonts w:hint="eastAsia" w:ascii="仿宋" w:hAnsi="仿宋" w:eastAsia="仿宋"/>
          <w:b/>
          <w:sz w:val="24"/>
          <w:szCs w:val="24"/>
        </w:rPr>
        <w:t>（一）会标屏</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1．显示面积≥宽18.56m*高1.76m；</w:t>
      </w:r>
    </w:p>
    <w:p>
      <w:pPr>
        <w:pStyle w:val="23"/>
        <w:spacing w:line="400" w:lineRule="exact"/>
        <w:ind w:firstLine="48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像素点间距 ≤10mm；</w:t>
      </w:r>
    </w:p>
    <w:p>
      <w:pPr>
        <w:pStyle w:val="23"/>
        <w:spacing w:line="400" w:lineRule="exact"/>
        <w:ind w:firstLine="48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像素点密度 ≥10000 点/㎡；</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4</w:t>
      </w:r>
      <w:r>
        <w:rPr>
          <w:rFonts w:ascii="仿宋" w:hAnsi="仿宋" w:eastAsia="仿宋"/>
          <w:sz w:val="24"/>
          <w:szCs w:val="24"/>
        </w:rPr>
        <w:t xml:space="preserve">. </w:t>
      </w:r>
      <w:r>
        <w:rPr>
          <w:rFonts w:hint="eastAsia" w:ascii="仿宋" w:hAnsi="仿宋" w:eastAsia="仿宋"/>
          <w:sz w:val="24"/>
          <w:szCs w:val="24"/>
        </w:rPr>
        <w:t>平均无故障时间 ≥20000h；</w:t>
      </w:r>
    </w:p>
    <w:p>
      <w:pPr>
        <w:pStyle w:val="23"/>
        <w:spacing w:line="400" w:lineRule="exact"/>
        <w:ind w:firstLine="48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.显示屏框架：显示屏矩管框架，铝材边框装饰，现场定制；</w:t>
      </w:r>
    </w:p>
    <w:p>
      <w:pPr>
        <w:pStyle w:val="23"/>
        <w:spacing w:line="400" w:lineRule="exact"/>
        <w:ind w:firstLine="480"/>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 布线等包含电缆线及网线等：前端总配电柜到显示屏安装位置，控制电脑到显示屏安装位置，穿管沿墙面走线</w:t>
      </w:r>
    </w:p>
    <w:p>
      <w:pPr>
        <w:pStyle w:val="23"/>
        <w:spacing w:line="400" w:lineRule="exact"/>
        <w:ind w:firstLine="480"/>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阻燃等级符合V-0级；</w:t>
      </w:r>
    </w:p>
    <w:p>
      <w:pPr>
        <w:pStyle w:val="23"/>
        <w:spacing w:line="400" w:lineRule="exact"/>
        <w:ind w:firstLine="480"/>
        <w:rPr>
          <w:rFonts w:ascii="仿宋" w:hAnsi="仿宋" w:eastAsia="仿宋"/>
          <w:sz w:val="24"/>
          <w:szCs w:val="24"/>
        </w:rPr>
      </w:pPr>
      <w:r>
        <w:rPr>
          <w:rFonts w:hint="eastAsia" w:ascii="仿宋" w:hAnsi="仿宋" w:eastAsia="仿宋"/>
          <w:sz w:val="24"/>
          <w:szCs w:val="24"/>
        </w:rPr>
        <w:t>8</w:t>
      </w:r>
      <w:r>
        <w:rPr>
          <w:rFonts w:ascii="仿宋" w:hAnsi="仿宋" w:eastAsia="仿宋"/>
          <w:sz w:val="24"/>
          <w:szCs w:val="24"/>
        </w:rPr>
        <w:t>.</w:t>
      </w:r>
      <w:r>
        <w:rPr>
          <w:rFonts w:hint="eastAsia" w:ascii="仿宋" w:hAnsi="仿宋" w:eastAsia="仿宋"/>
          <w:sz w:val="24"/>
          <w:szCs w:val="24"/>
        </w:rPr>
        <w:t>属于无光生物安全及蓝光危害类产品；</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9.</w:t>
      </w:r>
      <w:r>
        <w:rPr>
          <w:rFonts w:hint="eastAsia" w:ascii="仿宋" w:hAnsi="仿宋" w:eastAsia="仿宋"/>
          <w:sz w:val="24"/>
          <w:szCs w:val="24"/>
        </w:rPr>
        <w:t>像素组成：</w:t>
      </w:r>
      <w:r>
        <w:rPr>
          <w:rFonts w:hint="eastAsia" w:ascii="仿宋" w:hAnsi="仿宋" w:eastAsia="仿宋"/>
          <w:sz w:val="24"/>
          <w:szCs w:val="24"/>
        </w:rPr>
        <w:tab/>
      </w:r>
      <w:r>
        <w:rPr>
          <w:rFonts w:hint="eastAsia" w:ascii="仿宋" w:hAnsi="仿宋" w:eastAsia="仿宋"/>
          <w:sz w:val="24"/>
          <w:szCs w:val="24"/>
        </w:rPr>
        <w:t>1R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10.</w:t>
      </w:r>
      <w:r>
        <w:rPr>
          <w:rFonts w:hint="eastAsia" w:ascii="仿宋" w:hAnsi="仿宋" w:eastAsia="仿宋"/>
          <w:sz w:val="24"/>
          <w:szCs w:val="24"/>
        </w:rPr>
        <w:t>白平衡亮度（nits）≥1500；</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ascii="仿宋" w:hAnsi="仿宋" w:eastAsia="仿宋" w:cs="宋体"/>
          <w:kern w:val="0"/>
          <w:sz w:val="24"/>
          <w:szCs w:val="24"/>
        </w:rPr>
        <w:t>1</w:t>
      </w:r>
      <w:r>
        <w:rPr>
          <w:rFonts w:hint="eastAsia" w:ascii="仿宋" w:hAnsi="仿宋" w:eastAsia="仿宋" w:cs="宋体"/>
          <w:kern w:val="0"/>
          <w:sz w:val="24"/>
          <w:szCs w:val="24"/>
        </w:rPr>
        <w:t>1</w:t>
      </w:r>
      <w:r>
        <w:rPr>
          <w:rFonts w:ascii="仿宋" w:hAnsi="仿宋" w:eastAsia="仿宋" w:cs="宋体"/>
          <w:kern w:val="0"/>
          <w:sz w:val="24"/>
          <w:szCs w:val="24"/>
        </w:rPr>
        <w:t>.</w:t>
      </w:r>
      <w:r>
        <w:rPr>
          <w:rFonts w:hint="eastAsia" w:ascii="仿宋" w:hAnsi="仿宋" w:eastAsia="仿宋"/>
          <w:sz w:val="24"/>
          <w:szCs w:val="24"/>
        </w:rPr>
        <w:t>水平视角（ °）≥120；垂直视角（ °）≥60；</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w:t>
      </w:r>
      <w:r>
        <w:rPr>
          <w:rFonts w:hint="eastAsia" w:ascii="仿宋" w:hAnsi="仿宋" w:eastAsia="仿宋" w:cs="宋体"/>
          <w:kern w:val="0"/>
          <w:sz w:val="24"/>
          <w:szCs w:val="24"/>
        </w:rPr>
        <w:t>2</w:t>
      </w:r>
      <w:r>
        <w:rPr>
          <w:rFonts w:ascii="仿宋" w:hAnsi="仿宋" w:eastAsia="仿宋" w:cs="宋体"/>
          <w:kern w:val="0"/>
          <w:sz w:val="24"/>
          <w:szCs w:val="24"/>
        </w:rPr>
        <w:t>.</w:t>
      </w:r>
      <w:r>
        <w:rPr>
          <w:rFonts w:hint="eastAsia" w:ascii="仿宋" w:hAnsi="仿宋" w:eastAsia="仿宋"/>
          <w:sz w:val="24"/>
          <w:szCs w:val="24"/>
        </w:rPr>
        <w:t>使用环境：户外；</w:t>
      </w:r>
    </w:p>
    <w:p>
      <w:pPr>
        <w:pStyle w:val="23"/>
        <w:spacing w:line="400" w:lineRule="exact"/>
        <w:ind w:firstLine="480"/>
        <w:rPr>
          <w:rFonts w:ascii="仿宋" w:hAnsi="仿宋" w:eastAsia="仿宋"/>
          <w:sz w:val="24"/>
          <w:szCs w:val="24"/>
        </w:rPr>
      </w:pPr>
      <w:r>
        <w:rPr>
          <w:rFonts w:ascii="仿宋" w:hAnsi="仿宋" w:eastAsia="仿宋"/>
          <w:sz w:val="24"/>
          <w:szCs w:val="24"/>
        </w:rPr>
        <w:t>*</w:t>
      </w:r>
      <w:r>
        <w:rPr>
          <w:rFonts w:ascii="仿宋" w:hAnsi="仿宋" w:eastAsia="仿宋" w:cs="宋体"/>
          <w:kern w:val="0"/>
          <w:sz w:val="24"/>
          <w:szCs w:val="24"/>
        </w:rPr>
        <w:t>1</w:t>
      </w:r>
      <w:r>
        <w:rPr>
          <w:rFonts w:hint="eastAsia" w:ascii="仿宋" w:hAnsi="仿宋" w:eastAsia="仿宋" w:cs="宋体"/>
          <w:kern w:val="0"/>
          <w:sz w:val="24"/>
          <w:szCs w:val="24"/>
        </w:rPr>
        <w:t>3</w:t>
      </w:r>
      <w:r>
        <w:rPr>
          <w:rFonts w:ascii="仿宋" w:hAnsi="仿宋" w:eastAsia="仿宋" w:cs="宋体"/>
          <w:kern w:val="0"/>
          <w:sz w:val="24"/>
          <w:szCs w:val="24"/>
        </w:rPr>
        <w:t>.</w:t>
      </w:r>
      <w:r>
        <w:rPr>
          <w:rFonts w:hint="eastAsia" w:ascii="仿宋" w:hAnsi="仿宋" w:eastAsia="仿宋"/>
          <w:sz w:val="24"/>
          <w:szCs w:val="24"/>
        </w:rPr>
        <w:t>使用寿命≥100000；</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1</w:t>
      </w:r>
      <w:r>
        <w:rPr>
          <w:rFonts w:hint="eastAsia" w:ascii="仿宋" w:hAnsi="仿宋" w:eastAsia="仿宋" w:cs="宋体"/>
          <w:kern w:val="0"/>
          <w:sz w:val="24"/>
          <w:szCs w:val="24"/>
        </w:rPr>
        <w:t>4</w:t>
      </w:r>
      <w:r>
        <w:rPr>
          <w:rFonts w:ascii="仿宋" w:hAnsi="仿宋" w:eastAsia="仿宋" w:cs="宋体"/>
          <w:kern w:val="0"/>
          <w:sz w:val="24"/>
          <w:szCs w:val="24"/>
        </w:rPr>
        <w:t>.</w:t>
      </w:r>
      <w:r>
        <w:rPr>
          <w:rFonts w:hint="eastAsia" w:ascii="仿宋" w:hAnsi="仿宋" w:eastAsia="仿宋"/>
          <w:sz w:val="24"/>
          <w:szCs w:val="24"/>
        </w:rPr>
        <w:t>工作温度范围：-25~55度；</w:t>
      </w:r>
    </w:p>
    <w:p>
      <w:pPr>
        <w:pStyle w:val="23"/>
        <w:spacing w:line="400" w:lineRule="exact"/>
        <w:ind w:firstLine="48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5</w:t>
      </w:r>
      <w:r>
        <w:rPr>
          <w:rFonts w:ascii="仿宋" w:hAnsi="仿宋" w:eastAsia="仿宋"/>
          <w:sz w:val="24"/>
          <w:szCs w:val="24"/>
        </w:rPr>
        <w:t>.驱动方式采用15v恒</w:t>
      </w:r>
      <w:r>
        <w:rPr>
          <w:rFonts w:hint="eastAsia" w:ascii="仿宋" w:hAnsi="仿宋" w:eastAsia="仿宋"/>
          <w:sz w:val="24"/>
          <w:szCs w:val="24"/>
        </w:rPr>
        <w:t>压</w:t>
      </w:r>
      <w:r>
        <w:rPr>
          <w:rFonts w:ascii="仿宋" w:hAnsi="仿宋" w:eastAsia="仿宋"/>
          <w:sz w:val="24"/>
          <w:szCs w:val="24"/>
        </w:rPr>
        <w:t>驱动;</w:t>
      </w:r>
    </w:p>
    <w:p>
      <w:pPr>
        <w:pStyle w:val="23"/>
        <w:spacing w:line="400" w:lineRule="exact"/>
        <w:ind w:firstLine="48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6</w:t>
      </w:r>
      <w:r>
        <w:rPr>
          <w:rFonts w:ascii="仿宋" w:hAnsi="仿宋" w:eastAsia="仿宋"/>
          <w:sz w:val="24"/>
          <w:szCs w:val="24"/>
        </w:rPr>
        <w:t>.平均功耗应小于300w/平方</w:t>
      </w:r>
      <w:r>
        <w:rPr>
          <w:rFonts w:hint="eastAsia" w:ascii="仿宋" w:hAnsi="仿宋" w:eastAsia="仿宋"/>
          <w:sz w:val="24"/>
          <w:szCs w:val="24"/>
        </w:rPr>
        <w:t>；</w:t>
      </w:r>
    </w:p>
    <w:p>
      <w:pPr>
        <w:pStyle w:val="23"/>
        <w:spacing w:line="400" w:lineRule="exact"/>
        <w:ind w:firstLine="480"/>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7</w:t>
      </w:r>
      <w:r>
        <w:rPr>
          <w:rFonts w:ascii="仿宋" w:hAnsi="仿宋" w:eastAsia="仿宋"/>
          <w:sz w:val="24"/>
          <w:szCs w:val="24"/>
        </w:rPr>
        <w:t>.防水防尘等级应大于等于ip65</w:t>
      </w:r>
      <w:r>
        <w:rPr>
          <w:rFonts w:hint="eastAsia" w:ascii="仿宋" w:hAnsi="仿宋" w:eastAsia="仿宋"/>
          <w:sz w:val="24"/>
          <w:szCs w:val="24"/>
        </w:rPr>
        <w:t>；</w:t>
      </w:r>
    </w:p>
    <w:p>
      <w:pPr>
        <w:pStyle w:val="23"/>
        <w:spacing w:line="400" w:lineRule="exact"/>
        <w:ind w:firstLine="480"/>
        <w:rPr>
          <w:rFonts w:ascii="仿宋" w:hAnsi="仿宋" w:eastAsia="仿宋"/>
          <w:sz w:val="24"/>
          <w:szCs w:val="24"/>
        </w:rPr>
      </w:pPr>
      <w:r>
        <w:rPr>
          <w:rFonts w:ascii="仿宋" w:hAnsi="仿宋" w:eastAsia="仿宋"/>
          <w:sz w:val="24"/>
          <w:szCs w:val="24"/>
        </w:rPr>
        <w:t>19.控制方式采用异步方式。</w:t>
      </w:r>
    </w:p>
    <w:p>
      <w:pPr>
        <w:pStyle w:val="23"/>
        <w:spacing w:line="400" w:lineRule="exact"/>
        <w:ind w:firstLine="48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w:t>
      </w:r>
      <w:r>
        <w:rPr>
          <w:rFonts w:hint="eastAsia" w:ascii="仿宋" w:hAnsi="仿宋" w:eastAsia="仿宋"/>
          <w:sz w:val="24"/>
          <w:szCs w:val="24"/>
        </w:rPr>
        <w:t>原厂CCC认证及CE FCC ROHS相关认证；并加盖制造商鲜（公）章。</w:t>
      </w:r>
    </w:p>
    <w:p>
      <w:pPr>
        <w:pStyle w:val="23"/>
        <w:spacing w:line="400" w:lineRule="exact"/>
        <w:ind w:firstLine="482"/>
        <w:rPr>
          <w:rFonts w:ascii="仿宋" w:hAnsi="仿宋" w:eastAsia="仿宋"/>
          <w:b/>
          <w:sz w:val="24"/>
          <w:szCs w:val="24"/>
        </w:rPr>
      </w:pPr>
      <w:r>
        <w:rPr>
          <w:rFonts w:hint="eastAsia" w:ascii="仿宋" w:hAnsi="仿宋" w:eastAsia="仿宋"/>
          <w:b/>
          <w:sz w:val="24"/>
          <w:szCs w:val="24"/>
        </w:rPr>
        <w:t>（二）标识字</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hint="eastAsia" w:ascii="仿宋" w:hAnsi="仿宋" w:eastAsia="仿宋"/>
          <w:sz w:val="24"/>
          <w:szCs w:val="24"/>
        </w:rPr>
        <w:t>1. 广告字-立体造型内容为：</w:t>
      </w:r>
      <w:r>
        <w:rPr>
          <w:rFonts w:hint="eastAsia" w:ascii="仿宋" w:hAnsi="仿宋" w:eastAsia="仿宋"/>
          <w:b/>
          <w:bCs/>
          <w:sz w:val="24"/>
          <w:szCs w:val="24"/>
        </w:rPr>
        <w:t>享受乐趣  增强体质  健全人格  锤炼意志</w:t>
      </w:r>
      <w:r>
        <w:rPr>
          <w:rFonts w:hint="eastAsia" w:ascii="仿宋" w:hAnsi="仿宋" w:eastAsia="仿宋"/>
          <w:sz w:val="24"/>
          <w:szCs w:val="24"/>
        </w:rPr>
        <w:t xml:space="preserve"> ；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2</w:t>
      </w:r>
      <w:r>
        <w:rPr>
          <w:rFonts w:hint="eastAsia" w:ascii="仿宋" w:hAnsi="仿宋" w:eastAsia="仿宋"/>
          <w:sz w:val="24"/>
          <w:szCs w:val="24"/>
        </w:rPr>
        <w:t xml:space="preserve">．字体：方正粗黑宋简体；                            </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w:t>
      </w:r>
      <w:r>
        <w:rPr>
          <w:rFonts w:ascii="仿宋" w:hAnsi="仿宋" w:eastAsia="仿宋"/>
          <w:sz w:val="24"/>
          <w:szCs w:val="24"/>
        </w:rPr>
        <w:t>3</w:t>
      </w:r>
      <w:r>
        <w:rPr>
          <w:rFonts w:hint="eastAsia" w:ascii="仿宋" w:hAnsi="仿宋" w:eastAsia="仿宋"/>
          <w:sz w:val="24"/>
          <w:szCs w:val="24"/>
        </w:rPr>
        <w:t xml:space="preserve">. 规格：正面字体约高≥2m（宽依字体自然放大按比例而定），侧面厚度≥15cm，背部需用镀锌板封成立体； </w:t>
      </w:r>
    </w:p>
    <w:p>
      <w:pPr>
        <w:pStyle w:val="23"/>
        <w:spacing w:line="400" w:lineRule="exact"/>
        <w:ind w:firstLine="48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 xml:space="preserve">.广告字材质：镀锌钢板；                      </w:t>
      </w:r>
    </w:p>
    <w:p>
      <w:pPr>
        <w:pStyle w:val="23"/>
        <w:spacing w:line="400" w:lineRule="exact"/>
        <w:ind w:firstLine="48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 制作工艺：文字正面采用≥3mm镀锌板激光切割，侧边及背面采用≥1.5mm镀锌板焊接，表面红色烤漆处理。</w:t>
      </w:r>
    </w:p>
    <w:p>
      <w:pPr>
        <w:pStyle w:val="23"/>
        <w:spacing w:line="400" w:lineRule="exact"/>
        <w:ind w:firstLine="480"/>
        <w:rPr>
          <w:rFonts w:ascii="仿宋" w:hAnsi="仿宋" w:eastAsia="仿宋"/>
          <w:sz w:val="24"/>
          <w:szCs w:val="24"/>
        </w:rPr>
      </w:pPr>
      <w:r>
        <w:rPr>
          <w:rFonts w:ascii="仿宋" w:hAnsi="仿宋" w:eastAsia="仿宋" w:cs="宋体"/>
          <w:kern w:val="0"/>
          <w:sz w:val="24"/>
          <w:szCs w:val="24"/>
        </w:rPr>
        <w:t>※6.</w:t>
      </w:r>
      <w:r>
        <w:rPr>
          <w:rFonts w:hint="eastAsia" w:ascii="仿宋" w:hAnsi="仿宋" w:eastAsia="仿宋" w:cs="宋体"/>
          <w:kern w:val="0"/>
          <w:sz w:val="24"/>
          <w:szCs w:val="24"/>
        </w:rPr>
        <w:t>以下要求投标人需在提交响应文件时提供相关承诺书（格式自定，相关内容需承诺表述清晰，加盖鲜章。投标人未做出承诺的视为无效标，投标人中标后未按承诺执行者，取消中标资格，按评标结果顺位至第二候选人）</w:t>
      </w:r>
    </w:p>
    <w:p>
      <w:pPr>
        <w:pStyle w:val="23"/>
        <w:spacing w:line="400" w:lineRule="exact"/>
        <w:ind w:firstLine="48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）由中标单位在施工前提供支撑钢架结构的施工设计图（注：需由有钢结构设计资质的设计院出具加盖出图鲜章的图纸，或经有设计资质的单位审核合格后加盖出图鲜章）；</w:t>
      </w:r>
    </w:p>
    <w:p>
      <w:pPr>
        <w:pStyle w:val="23"/>
        <w:spacing w:line="400" w:lineRule="exact"/>
        <w:ind w:firstLine="48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）由中标单位在施工前提供验算书等，保证荷载须满足承载力要求；整体结构稳定，经有资质的设计单位验算满足抗风压等要求。</w:t>
      </w:r>
    </w:p>
    <w:p>
      <w:pPr>
        <w:pStyle w:val="23"/>
        <w:spacing w:line="400" w:lineRule="exact"/>
        <w:ind w:firstLine="48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投标人应承诺</w:t>
      </w:r>
      <w:r>
        <w:rPr>
          <w:rFonts w:hint="eastAsia" w:ascii="仿宋" w:hAnsi="仿宋" w:eastAsia="仿宋"/>
          <w:sz w:val="24"/>
          <w:szCs w:val="24"/>
        </w:rPr>
        <w:t>中标后</w:t>
      </w:r>
      <w:r>
        <w:rPr>
          <w:rFonts w:ascii="仿宋" w:hAnsi="仿宋" w:eastAsia="仿宋"/>
          <w:sz w:val="24"/>
          <w:szCs w:val="24"/>
        </w:rPr>
        <w:t>自觉在实施过程中接受学校相关</w:t>
      </w:r>
      <w:r>
        <w:rPr>
          <w:rFonts w:hint="eastAsia" w:ascii="仿宋" w:hAnsi="仿宋" w:eastAsia="仿宋"/>
          <w:sz w:val="24"/>
          <w:szCs w:val="24"/>
        </w:rPr>
        <w:t>职</w:t>
      </w:r>
      <w:r>
        <w:rPr>
          <w:rFonts w:ascii="仿宋" w:hAnsi="仿宋" w:eastAsia="仿宋"/>
          <w:sz w:val="24"/>
          <w:szCs w:val="24"/>
        </w:rPr>
        <w:t>能部门的管理，保护原有环境，中标单位在施工前需</w:t>
      </w:r>
      <w:r>
        <w:rPr>
          <w:rFonts w:hint="eastAsia" w:ascii="仿宋" w:hAnsi="仿宋" w:eastAsia="仿宋"/>
          <w:sz w:val="24"/>
          <w:szCs w:val="24"/>
        </w:rPr>
        <w:t>充分了解</w:t>
      </w:r>
      <w:r>
        <w:rPr>
          <w:rFonts w:ascii="仿宋" w:hAnsi="仿宋" w:eastAsia="仿宋"/>
          <w:sz w:val="24"/>
          <w:szCs w:val="24"/>
        </w:rPr>
        <w:t>学校田径场看台</w:t>
      </w:r>
      <w:r>
        <w:rPr>
          <w:rFonts w:hint="eastAsia" w:ascii="仿宋" w:hAnsi="仿宋" w:eastAsia="仿宋"/>
          <w:sz w:val="24"/>
          <w:szCs w:val="24"/>
        </w:rPr>
        <w:t>情况</w:t>
      </w:r>
      <w:r>
        <w:rPr>
          <w:rFonts w:ascii="仿宋" w:hAnsi="仿宋" w:eastAsia="仿宋"/>
          <w:sz w:val="24"/>
          <w:szCs w:val="24"/>
        </w:rPr>
        <w:t>，施工</w:t>
      </w:r>
      <w:r>
        <w:rPr>
          <w:rFonts w:hint="eastAsia" w:ascii="仿宋" w:hAnsi="仿宋" w:eastAsia="仿宋"/>
          <w:sz w:val="24"/>
          <w:szCs w:val="24"/>
        </w:rPr>
        <w:t>设计及</w:t>
      </w:r>
      <w:r>
        <w:rPr>
          <w:rFonts w:ascii="仿宋" w:hAnsi="仿宋" w:eastAsia="仿宋"/>
          <w:sz w:val="24"/>
          <w:szCs w:val="24"/>
        </w:rPr>
        <w:t>方案经看台</w:t>
      </w:r>
      <w:r>
        <w:rPr>
          <w:rFonts w:hint="eastAsia" w:ascii="仿宋" w:hAnsi="仿宋" w:eastAsia="仿宋"/>
          <w:sz w:val="24"/>
          <w:szCs w:val="24"/>
        </w:rPr>
        <w:t>原</w:t>
      </w:r>
      <w:r>
        <w:rPr>
          <w:rFonts w:ascii="仿宋" w:hAnsi="仿宋" w:eastAsia="仿宋"/>
          <w:sz w:val="24"/>
          <w:szCs w:val="24"/>
        </w:rPr>
        <w:t>建造单位审核可行性后方可动工。（格式自拟）</w:t>
      </w:r>
    </w:p>
    <w:p>
      <w:pPr>
        <w:pStyle w:val="23"/>
        <w:spacing w:line="400" w:lineRule="exact"/>
        <w:ind w:firstLine="48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sz w:val="24"/>
          <w:szCs w:val="24"/>
        </w:rPr>
        <w:t>. 用电和防雷满足相关规范要求。</w:t>
      </w:r>
    </w:p>
    <w:p>
      <w:pPr>
        <w:pStyle w:val="23"/>
        <w:spacing w:line="400" w:lineRule="exact"/>
        <w:ind w:firstLine="480"/>
        <w:rPr>
          <w:rFonts w:ascii="仿宋" w:hAnsi="仿宋" w:eastAsia="仿宋" w:cs="方正仿宋_GBK"/>
          <w:b/>
          <w:bCs/>
          <w:sz w:val="24"/>
          <w:szCs w:val="24"/>
        </w:rPr>
      </w:pPr>
      <w:r>
        <w:rPr>
          <w:rFonts w:ascii="仿宋" w:hAnsi="仿宋" w:eastAsia="仿宋" w:cs="宋体"/>
          <w:kern w:val="0"/>
          <w:sz w:val="24"/>
          <w:szCs w:val="24"/>
        </w:rPr>
        <w:t xml:space="preserve">8. </w:t>
      </w:r>
      <w:r>
        <w:rPr>
          <w:rFonts w:hint="eastAsia" w:ascii="仿宋" w:hAnsi="仿宋" w:eastAsia="仿宋"/>
          <w:sz w:val="24"/>
          <w:szCs w:val="24"/>
        </w:rPr>
        <w:t>能与周围环境协调一致。</w:t>
      </w:r>
    </w:p>
    <w:p>
      <w:pPr>
        <w:pStyle w:val="23"/>
        <w:spacing w:line="400" w:lineRule="exact"/>
        <w:ind w:firstLine="480"/>
        <w:rPr>
          <w:rFonts w:ascii="仿宋" w:hAnsi="仿宋" w:eastAsia="仿宋" w:cs="方正仿宋_GBK"/>
          <w:b/>
          <w:bCs/>
          <w:sz w:val="24"/>
          <w:szCs w:val="24"/>
        </w:rPr>
      </w:pPr>
      <w:r>
        <w:rPr>
          <w:rFonts w:ascii="仿宋" w:hAnsi="仿宋" w:eastAsia="仿宋" w:cs="方正仿宋_GBK"/>
          <w:sz w:val="24"/>
          <w:szCs w:val="24"/>
        </w:rPr>
        <w:t>※9.投标人应在投标文件中说明所投施工方案对原有建筑的影响</w:t>
      </w:r>
      <w:r>
        <w:rPr>
          <w:rFonts w:ascii="仿宋" w:hAnsi="仿宋" w:eastAsia="仿宋" w:cs="方正仿宋_GBK"/>
          <w:b/>
          <w:bCs/>
          <w:sz w:val="24"/>
          <w:szCs w:val="24"/>
        </w:rPr>
        <w:t>。</w:t>
      </w:r>
    </w:p>
    <w:p>
      <w:pPr>
        <w:pStyle w:val="23"/>
        <w:spacing w:line="400" w:lineRule="exact"/>
        <w:ind w:firstLine="482"/>
        <w:rPr>
          <w:rFonts w:ascii="仿宋" w:hAnsi="仿宋" w:eastAsia="仿宋" w:cs="方正仿宋_GBK"/>
          <w:b/>
          <w:bCs/>
          <w:sz w:val="24"/>
          <w:szCs w:val="24"/>
        </w:rPr>
      </w:pPr>
    </w:p>
    <w:p>
      <w:pPr>
        <w:keepNext/>
        <w:keepLines/>
        <w:spacing w:line="440" w:lineRule="exact"/>
        <w:outlineLvl w:val="1"/>
        <w:rPr>
          <w:rFonts w:ascii="仿宋" w:hAnsi="仿宋" w:eastAsia="仿宋" w:cs="方正仿宋_GBK"/>
          <w:b/>
          <w:bCs/>
          <w:sz w:val="24"/>
          <w:szCs w:val="24"/>
        </w:rPr>
      </w:pPr>
      <w:bookmarkStart w:id="124" w:name="_Toc80882078"/>
      <w:r>
        <w:rPr>
          <w:rFonts w:hint="eastAsia" w:ascii="仿宋" w:hAnsi="仿宋" w:eastAsia="仿宋" w:cs="方正仿宋_GBK"/>
          <w:b/>
          <w:bCs/>
          <w:sz w:val="24"/>
          <w:szCs w:val="24"/>
        </w:rPr>
        <w:t>三、现场踏勘及看台相关图纸</w:t>
      </w:r>
      <w:bookmarkEnd w:id="124"/>
    </w:p>
    <w:p>
      <w:pPr>
        <w:spacing w:line="500" w:lineRule="exact"/>
        <w:ind w:firstLine="480"/>
        <w:rPr>
          <w:rFonts w:ascii="仿宋" w:hAnsi="仿宋" w:eastAsia="仿宋" w:cs="仿宋"/>
          <w:sz w:val="24"/>
          <w:szCs w:val="24"/>
        </w:rPr>
      </w:pPr>
      <w:r>
        <w:rPr>
          <w:rFonts w:ascii="仿宋" w:hAnsi="仿宋" w:eastAsia="仿宋" w:cs="仿宋"/>
          <w:sz w:val="24"/>
          <w:szCs w:val="24"/>
        </w:rPr>
        <w:t>现场踏勘由投标单位自行决定，如需踏勘，可联系:杨老师联系电话:15223187233，现场踏勘地址:重庆市长寿区菩提东路2009号重庆化工职业学院田径场</w:t>
      </w:r>
      <w:r>
        <w:rPr>
          <w:rFonts w:hint="eastAsia" w:ascii="仿宋" w:hAnsi="仿宋" w:eastAsia="仿宋" w:cs="仿宋"/>
          <w:sz w:val="24"/>
          <w:szCs w:val="24"/>
        </w:rPr>
        <w:t>。如需</w:t>
      </w:r>
      <w:r>
        <w:rPr>
          <w:rFonts w:hint="eastAsia" w:ascii="仿宋" w:hAnsi="仿宋" w:eastAsia="仿宋" w:cs="仿宋"/>
          <w:sz w:val="24"/>
          <w:szCs w:val="24"/>
          <w:u w:val="single"/>
        </w:rPr>
        <w:t>运动场看台安装工程竣工图及看台结构、建筑工程竣工图，</w:t>
      </w:r>
      <w:r>
        <w:rPr>
          <w:rFonts w:hint="eastAsia" w:ascii="仿宋" w:hAnsi="仿宋" w:eastAsia="仿宋" w:cs="仿宋"/>
          <w:sz w:val="24"/>
          <w:szCs w:val="24"/>
        </w:rPr>
        <w:t>请联系杨老师。</w:t>
      </w:r>
    </w:p>
    <w:p>
      <w:pPr>
        <w:keepNext/>
        <w:keepLines/>
        <w:spacing w:line="440" w:lineRule="exact"/>
        <w:outlineLvl w:val="1"/>
        <w:rPr>
          <w:rFonts w:ascii="仿宋" w:hAnsi="仿宋" w:eastAsia="仿宋" w:cs="方正仿宋_GBK"/>
          <w:b/>
          <w:bCs/>
          <w:sz w:val="24"/>
          <w:szCs w:val="24"/>
        </w:rPr>
      </w:pPr>
      <w:bookmarkStart w:id="125" w:name="_Toc6435_WPSOffice_Level2"/>
      <w:bookmarkStart w:id="126" w:name="_Toc80882079"/>
      <w:r>
        <w:rPr>
          <w:rFonts w:hint="eastAsia" w:ascii="仿宋" w:hAnsi="仿宋" w:eastAsia="仿宋" w:cs="方正仿宋_GBK"/>
          <w:b/>
          <w:bCs/>
          <w:sz w:val="24"/>
          <w:szCs w:val="24"/>
        </w:rPr>
        <w:t>四、其他要求</w:t>
      </w:r>
      <w:bookmarkEnd w:id="125"/>
      <w:bookmarkEnd w:id="126"/>
    </w:p>
    <w:p>
      <w:pPr>
        <w:spacing w:line="500" w:lineRule="exact"/>
        <w:ind w:firstLine="480"/>
        <w:rPr>
          <w:rFonts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b/>
          <w:sz w:val="24"/>
          <w:szCs w:val="24"/>
        </w:rPr>
        <w:t>供应商必须在响应文件中对以上条款和服务承诺根据自身情况明确列出，且必须响应，否则为无效投标。（请勿完全照搬原文，应根据自身响应情况明确相关承诺）</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（二）其他未尽事宜由供需双方在采购合同中详细约定。</w:t>
      </w:r>
    </w:p>
    <w:p>
      <w:pPr>
        <w:keepNext/>
        <w:keepLines/>
        <w:spacing w:line="500" w:lineRule="exact"/>
        <w:jc w:val="center"/>
        <w:outlineLvl w:val="0"/>
        <w:rPr>
          <w:rFonts w:ascii="仿宋" w:hAnsi="仿宋" w:eastAsia="仿宋" w:cs="仿宋"/>
          <w:b/>
          <w:bCs/>
          <w:sz w:val="36"/>
          <w:szCs w:val="30"/>
        </w:rPr>
      </w:pPr>
    </w:p>
    <w:p>
      <w:r>
        <w:br w:type="page"/>
      </w:r>
    </w:p>
    <w:p>
      <w:pPr>
        <w:pStyle w:val="13"/>
      </w:pPr>
    </w:p>
    <w:p/>
    <w:p>
      <w:pPr>
        <w:keepNext/>
        <w:keepLines/>
        <w:spacing w:line="500" w:lineRule="exact"/>
        <w:jc w:val="center"/>
        <w:outlineLvl w:val="0"/>
        <w:rPr>
          <w:rFonts w:ascii="仿宋" w:hAnsi="仿宋" w:eastAsia="仿宋" w:cs="仿宋"/>
          <w:bCs/>
          <w:sz w:val="24"/>
          <w:szCs w:val="24"/>
        </w:rPr>
      </w:pPr>
      <w:bookmarkStart w:id="127" w:name="_Toc80882080"/>
      <w:r>
        <w:rPr>
          <w:rFonts w:hint="eastAsia" w:ascii="仿宋" w:hAnsi="仿宋" w:eastAsia="仿宋" w:cs="仿宋"/>
          <w:b/>
          <w:bCs/>
          <w:sz w:val="36"/>
          <w:szCs w:val="30"/>
        </w:rPr>
        <w:t>第四篇  采购商务需求</w:t>
      </w:r>
      <w:bookmarkEnd w:id="127"/>
    </w:p>
    <w:p>
      <w:pPr>
        <w:keepNext/>
        <w:keepLines/>
        <w:spacing w:line="500" w:lineRule="exact"/>
        <w:outlineLvl w:val="1"/>
        <w:rPr>
          <w:rFonts w:ascii="仿宋" w:hAnsi="仿宋" w:eastAsia="仿宋" w:cs="方正仿宋_GBK"/>
          <w:b/>
          <w:bCs/>
          <w:sz w:val="24"/>
          <w:szCs w:val="24"/>
        </w:rPr>
      </w:pPr>
    </w:p>
    <w:p>
      <w:pPr>
        <w:keepNext/>
        <w:keepLines/>
        <w:spacing w:line="500" w:lineRule="exact"/>
        <w:outlineLvl w:val="1"/>
        <w:rPr>
          <w:rFonts w:ascii="仿宋" w:hAnsi="仿宋" w:eastAsia="仿宋" w:cs="仿宋"/>
          <w:b/>
          <w:sz w:val="24"/>
          <w:szCs w:val="24"/>
        </w:rPr>
      </w:pPr>
      <w:bookmarkStart w:id="128" w:name="_Toc80882081"/>
      <w:r>
        <w:rPr>
          <w:rFonts w:hint="eastAsia" w:ascii="仿宋" w:hAnsi="仿宋" w:eastAsia="仿宋" w:cs="方正仿宋_GBK"/>
          <w:b/>
          <w:bCs/>
          <w:sz w:val="24"/>
          <w:szCs w:val="24"/>
        </w:rPr>
        <w:t>一、实施（交货）时间、地点及验收方式</w:t>
      </w:r>
      <w:bookmarkEnd w:id="128"/>
    </w:p>
    <w:p>
      <w:pPr>
        <w:ind w:firstLine="480" w:firstLineChars="200"/>
        <w:rPr>
          <w:rFonts w:ascii="仿宋" w:hAnsi="仿宋" w:eastAsia="仿宋" w:cs="仿宋"/>
          <w:bCs/>
          <w:sz w:val="24"/>
          <w:szCs w:val="24"/>
        </w:rPr>
      </w:pPr>
      <w:r>
        <w:rPr>
          <w:rFonts w:ascii="仿宋" w:hAnsi="仿宋" w:eastAsia="仿宋" w:cs="仿宋"/>
          <w:bCs/>
          <w:sz w:val="24"/>
          <w:szCs w:val="24"/>
        </w:rPr>
        <w:t>（一）交货期（或为：实施时间）</w:t>
      </w:r>
    </w:p>
    <w:p>
      <w:pPr>
        <w:ind w:firstLine="480" w:firstLineChars="200"/>
        <w:rPr>
          <w:rFonts w:ascii="仿宋" w:hAnsi="仿宋" w:eastAsia="仿宋" w:cs="仿宋"/>
          <w:bCs/>
          <w:sz w:val="24"/>
          <w:szCs w:val="24"/>
        </w:rPr>
      </w:pPr>
      <w:r>
        <w:rPr>
          <w:rFonts w:ascii="仿宋" w:hAnsi="仿宋" w:eastAsia="仿宋" w:cs="仿宋"/>
          <w:bCs/>
          <w:sz w:val="24"/>
          <w:szCs w:val="24"/>
        </w:rPr>
        <w:t>成交供应商应在采购合同签订后40个日历日内交货并完成安装调试。</w:t>
      </w:r>
    </w:p>
    <w:p>
      <w:pPr>
        <w:ind w:firstLine="480" w:firstLineChars="200"/>
        <w:rPr>
          <w:rFonts w:ascii="仿宋" w:hAnsi="仿宋" w:eastAsia="仿宋" w:cs="仿宋"/>
          <w:bCs/>
          <w:sz w:val="24"/>
          <w:szCs w:val="24"/>
        </w:rPr>
      </w:pPr>
      <w:r>
        <w:rPr>
          <w:rFonts w:ascii="仿宋" w:hAnsi="仿宋" w:eastAsia="仿宋" w:cs="仿宋"/>
          <w:bCs/>
          <w:sz w:val="24"/>
          <w:szCs w:val="24"/>
        </w:rPr>
        <w:t>（二）交货地点（或为：实施地点）</w:t>
      </w:r>
    </w:p>
    <w:p>
      <w:pPr>
        <w:ind w:firstLine="480" w:firstLineChars="200"/>
        <w:rPr>
          <w:rFonts w:ascii="仿宋" w:hAnsi="仿宋" w:eastAsia="仿宋" w:cs="仿宋"/>
          <w:bCs/>
          <w:sz w:val="24"/>
          <w:szCs w:val="24"/>
        </w:rPr>
      </w:pPr>
      <w:r>
        <w:rPr>
          <w:rFonts w:ascii="仿宋" w:hAnsi="仿宋" w:eastAsia="仿宋" w:cs="仿宋"/>
          <w:bCs/>
          <w:sz w:val="24"/>
          <w:szCs w:val="24"/>
        </w:rPr>
        <w:t>交货地点：</w:t>
      </w:r>
      <w:r>
        <w:rPr>
          <w:rFonts w:hint="eastAsia" w:ascii="仿宋" w:hAnsi="仿宋" w:eastAsia="仿宋" w:cs="仿宋"/>
          <w:bCs/>
          <w:sz w:val="24"/>
          <w:szCs w:val="24"/>
        </w:rPr>
        <w:t>重庆市长寿区菩提东路2</w:t>
      </w:r>
      <w:r>
        <w:rPr>
          <w:rFonts w:ascii="仿宋" w:hAnsi="仿宋" w:eastAsia="仿宋" w:cs="仿宋"/>
          <w:bCs/>
          <w:sz w:val="24"/>
          <w:szCs w:val="24"/>
        </w:rPr>
        <w:t>009</w:t>
      </w:r>
      <w:r>
        <w:rPr>
          <w:rFonts w:hint="eastAsia" w:ascii="仿宋" w:hAnsi="仿宋" w:eastAsia="仿宋" w:cs="仿宋"/>
          <w:bCs/>
          <w:sz w:val="24"/>
          <w:szCs w:val="24"/>
        </w:rPr>
        <w:t>号重庆化工职业学院田径场主席台及看台</w:t>
      </w:r>
      <w:r>
        <w:rPr>
          <w:rFonts w:ascii="仿宋" w:hAnsi="仿宋" w:eastAsia="仿宋" w:cs="仿宋"/>
          <w:bCs/>
          <w:sz w:val="24"/>
          <w:szCs w:val="24"/>
        </w:rPr>
        <w:t>。</w:t>
      </w:r>
    </w:p>
    <w:p>
      <w:pPr>
        <w:ind w:firstLine="480" w:firstLineChars="200"/>
        <w:rPr>
          <w:rFonts w:ascii="仿宋" w:hAnsi="仿宋" w:eastAsia="仿宋" w:cs="仿宋"/>
          <w:bCs/>
          <w:sz w:val="24"/>
          <w:szCs w:val="24"/>
        </w:rPr>
      </w:pPr>
      <w:r>
        <w:rPr>
          <w:rFonts w:ascii="仿宋" w:hAnsi="仿宋" w:eastAsia="仿宋" w:cs="仿宋"/>
          <w:bCs/>
          <w:sz w:val="24"/>
          <w:szCs w:val="24"/>
        </w:rPr>
        <w:t>（三）验收方式</w:t>
      </w:r>
    </w:p>
    <w:p>
      <w:pPr>
        <w:ind w:firstLine="480" w:firstLineChars="200"/>
        <w:rPr>
          <w:rFonts w:ascii="仿宋" w:hAnsi="仿宋" w:eastAsia="仿宋" w:cs="仿宋"/>
          <w:bCs/>
          <w:sz w:val="24"/>
          <w:szCs w:val="24"/>
        </w:rPr>
      </w:pPr>
      <w:r>
        <w:rPr>
          <w:rFonts w:ascii="仿宋" w:hAnsi="仿宋" w:eastAsia="仿宋" w:cs="仿宋"/>
          <w:bCs/>
          <w:sz w:val="24"/>
          <w:szCs w:val="24"/>
        </w:rPr>
        <w:t>1.货物到达现场后，中标人应在使用单位人员在场情况下当面开箱，共同清点、检查外观。</w:t>
      </w:r>
    </w:p>
    <w:p>
      <w:pPr>
        <w:ind w:firstLine="480" w:firstLineChars="200"/>
        <w:rPr>
          <w:rFonts w:ascii="仿宋" w:hAnsi="仿宋" w:eastAsia="仿宋" w:cs="仿宋"/>
          <w:bCs/>
          <w:sz w:val="24"/>
          <w:szCs w:val="24"/>
        </w:rPr>
      </w:pPr>
      <w:r>
        <w:rPr>
          <w:rFonts w:ascii="仿宋" w:hAnsi="仿宋" w:eastAsia="仿宋" w:cs="仿宋"/>
          <w:bCs/>
          <w:sz w:val="24"/>
          <w:szCs w:val="24"/>
        </w:rPr>
        <w:t>2.中标人应保证货物到达采购人所在地完好无损，如有缺漏、损坏，由投标人负责调换、补齐或赔偿。</w:t>
      </w:r>
    </w:p>
    <w:p>
      <w:pPr>
        <w:ind w:firstLine="480" w:firstLineChars="200"/>
        <w:rPr>
          <w:rFonts w:ascii="仿宋" w:hAnsi="仿宋" w:eastAsia="仿宋" w:cs="仿宋"/>
          <w:bCs/>
          <w:sz w:val="24"/>
          <w:szCs w:val="24"/>
        </w:rPr>
      </w:pPr>
      <w:r>
        <w:rPr>
          <w:rFonts w:ascii="仿宋" w:hAnsi="仿宋" w:eastAsia="仿宋" w:cs="仿宋"/>
          <w:bCs/>
          <w:sz w:val="24"/>
          <w:szCs w:val="24"/>
        </w:rPr>
        <w:t>3.中标人应提供完备的技术资料、装箱单和合格证等，并派遣专业技术人员进行现场安装调试。验收合格条件如下：</w:t>
      </w:r>
    </w:p>
    <w:p>
      <w:pPr>
        <w:ind w:firstLine="480" w:firstLineChars="200"/>
        <w:rPr>
          <w:rFonts w:ascii="仿宋" w:hAnsi="仿宋" w:eastAsia="仿宋" w:cs="仿宋"/>
          <w:bCs/>
          <w:sz w:val="24"/>
          <w:szCs w:val="24"/>
        </w:rPr>
      </w:pPr>
      <w:r>
        <w:rPr>
          <w:rFonts w:ascii="仿宋" w:hAnsi="仿宋" w:eastAsia="仿宋" w:cs="仿宋"/>
          <w:bCs/>
          <w:sz w:val="24"/>
          <w:szCs w:val="24"/>
        </w:rPr>
        <w:t>3.1设备技术参数与采购合同一致，性能指标达到规定的标准。</w:t>
      </w:r>
    </w:p>
    <w:p>
      <w:pPr>
        <w:ind w:firstLine="480" w:firstLineChars="200"/>
        <w:rPr>
          <w:rFonts w:ascii="仿宋" w:hAnsi="仿宋" w:eastAsia="仿宋" w:cs="仿宋"/>
          <w:bCs/>
          <w:sz w:val="24"/>
          <w:szCs w:val="24"/>
        </w:rPr>
      </w:pPr>
      <w:r>
        <w:rPr>
          <w:rFonts w:ascii="仿宋" w:hAnsi="仿宋" w:eastAsia="仿宋" w:cs="仿宋"/>
          <w:bCs/>
          <w:sz w:val="24"/>
          <w:szCs w:val="24"/>
        </w:rPr>
        <w:t>3.2货物技术资料、装箱单、合格证等资料齐全。</w:t>
      </w:r>
    </w:p>
    <w:p>
      <w:pPr>
        <w:ind w:firstLine="480" w:firstLineChars="200"/>
        <w:rPr>
          <w:rFonts w:ascii="仿宋" w:hAnsi="仿宋" w:eastAsia="仿宋" w:cs="仿宋"/>
          <w:bCs/>
          <w:sz w:val="24"/>
          <w:szCs w:val="24"/>
        </w:rPr>
      </w:pPr>
      <w:r>
        <w:rPr>
          <w:rFonts w:ascii="仿宋" w:hAnsi="仿宋" w:eastAsia="仿宋" w:cs="仿宋"/>
          <w:bCs/>
          <w:sz w:val="24"/>
          <w:szCs w:val="24"/>
        </w:rPr>
        <w:t>3.3在系统试运行期间所出现的问题得到解决，并运行正常。</w:t>
      </w:r>
    </w:p>
    <w:p>
      <w:pPr>
        <w:ind w:firstLine="480" w:firstLineChars="200"/>
        <w:rPr>
          <w:rFonts w:ascii="仿宋" w:hAnsi="仿宋" w:eastAsia="仿宋" w:cs="仿宋"/>
          <w:bCs/>
          <w:sz w:val="24"/>
          <w:szCs w:val="24"/>
        </w:rPr>
      </w:pPr>
      <w:r>
        <w:rPr>
          <w:rFonts w:ascii="仿宋" w:hAnsi="仿宋" w:eastAsia="仿宋" w:cs="仿宋"/>
          <w:bCs/>
          <w:sz w:val="24"/>
          <w:szCs w:val="24"/>
        </w:rPr>
        <w:t>3.4在规定时间内完成交货并验收，并经采购人确认。</w:t>
      </w:r>
    </w:p>
    <w:p>
      <w:pPr>
        <w:ind w:firstLine="480" w:firstLineChars="200"/>
        <w:rPr>
          <w:rFonts w:ascii="仿宋" w:hAnsi="仿宋" w:eastAsia="仿宋" w:cs="仿宋"/>
          <w:bCs/>
          <w:sz w:val="24"/>
          <w:szCs w:val="24"/>
        </w:rPr>
      </w:pPr>
      <w:r>
        <w:rPr>
          <w:rFonts w:ascii="仿宋" w:hAnsi="仿宋" w:eastAsia="仿宋" w:cs="仿宋"/>
          <w:bCs/>
          <w:sz w:val="24"/>
          <w:szCs w:val="24"/>
        </w:rPr>
        <w:t>4.产品在安装调试并试运行符合要求后，才作为最终验收。</w:t>
      </w:r>
    </w:p>
    <w:p>
      <w:pPr>
        <w:ind w:firstLine="480" w:firstLineChars="200"/>
        <w:rPr>
          <w:rFonts w:ascii="仿宋" w:hAnsi="仿宋" w:eastAsia="仿宋" w:cs="仿宋"/>
          <w:bCs/>
          <w:sz w:val="24"/>
          <w:szCs w:val="24"/>
        </w:rPr>
      </w:pPr>
      <w:r>
        <w:rPr>
          <w:rFonts w:ascii="仿宋" w:hAnsi="仿宋" w:eastAsia="仿宋" w:cs="仿宋"/>
          <w:bCs/>
          <w:sz w:val="24"/>
          <w:szCs w:val="24"/>
        </w:rPr>
        <w:t>5.中标人提供的货物未达到招标文件规定要求，且对采购人造成损失的，由中标人承担一切责任，并赔偿所造成的损失。</w:t>
      </w:r>
    </w:p>
    <w:p>
      <w:pPr>
        <w:ind w:firstLine="480" w:firstLineChars="200"/>
        <w:rPr>
          <w:rFonts w:ascii="仿宋" w:hAnsi="仿宋" w:eastAsia="仿宋" w:cs="仿宋"/>
          <w:bCs/>
          <w:sz w:val="24"/>
          <w:szCs w:val="24"/>
        </w:rPr>
      </w:pPr>
      <w:r>
        <w:rPr>
          <w:rFonts w:ascii="仿宋" w:hAnsi="仿宋" w:eastAsia="仿宋" w:cs="仿宋"/>
          <w:bCs/>
          <w:sz w:val="24"/>
          <w:szCs w:val="24"/>
        </w:rPr>
        <w:t>6.采购人需要制造商对中标人交付的产品（包括质量、技术参数等）进行确认的，制造商应予以配合，并出具书面意见。</w:t>
      </w:r>
    </w:p>
    <w:p>
      <w:pPr>
        <w:ind w:firstLine="480" w:firstLineChars="200"/>
        <w:rPr>
          <w:rFonts w:ascii="仿宋" w:hAnsi="仿宋" w:eastAsia="仿宋" w:cs="仿宋"/>
          <w:bCs/>
          <w:sz w:val="24"/>
          <w:szCs w:val="24"/>
        </w:rPr>
      </w:pPr>
      <w:r>
        <w:rPr>
          <w:rFonts w:ascii="仿宋" w:hAnsi="仿宋" w:eastAsia="仿宋" w:cs="仿宋"/>
          <w:bCs/>
          <w:sz w:val="24"/>
          <w:szCs w:val="24"/>
        </w:rPr>
        <w:t>7.产品包装材料归采购人所有。</w:t>
      </w:r>
    </w:p>
    <w:p>
      <w:pPr>
        <w:keepNext/>
        <w:keepLines/>
        <w:spacing w:line="500" w:lineRule="exact"/>
        <w:outlineLvl w:val="1"/>
        <w:rPr>
          <w:rFonts w:ascii="仿宋" w:hAnsi="仿宋" w:eastAsia="仿宋" w:cs="仿宋"/>
          <w:b/>
          <w:sz w:val="24"/>
          <w:szCs w:val="24"/>
        </w:rPr>
      </w:pPr>
      <w:bookmarkStart w:id="129" w:name="_Toc80882082"/>
      <w:r>
        <w:rPr>
          <w:rFonts w:hint="eastAsia" w:ascii="仿宋" w:hAnsi="仿宋" w:eastAsia="仿宋" w:cs="仿宋"/>
          <w:b/>
          <w:sz w:val="24"/>
          <w:szCs w:val="24"/>
        </w:rPr>
        <w:t>二、报价要求</w:t>
      </w:r>
      <w:bookmarkEnd w:id="129"/>
    </w:p>
    <w:p>
      <w:pPr>
        <w:keepNext/>
        <w:keepLines/>
        <w:spacing w:line="500" w:lineRule="exact"/>
        <w:ind w:firstLine="480" w:firstLineChars="200"/>
        <w:rPr>
          <w:rFonts w:ascii="仿宋" w:hAnsi="仿宋" w:eastAsia="仿宋" w:cs="仿宋"/>
          <w:bCs/>
          <w:sz w:val="24"/>
          <w:szCs w:val="24"/>
        </w:rPr>
      </w:pPr>
      <w:r>
        <w:rPr>
          <w:rFonts w:hint="eastAsia" w:ascii="仿宋" w:hAnsi="仿宋" w:eastAsia="仿宋" w:cs="仿宋"/>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pPr>
        <w:keepNext/>
        <w:keepLines/>
        <w:spacing w:line="500" w:lineRule="exact"/>
        <w:outlineLvl w:val="1"/>
        <w:rPr>
          <w:rFonts w:ascii="仿宋" w:hAnsi="仿宋" w:eastAsia="仿宋" w:cs="仿宋"/>
          <w:b/>
          <w:sz w:val="24"/>
          <w:szCs w:val="24"/>
        </w:rPr>
      </w:pPr>
      <w:bookmarkStart w:id="130" w:name="_Toc80882083"/>
      <w:r>
        <w:rPr>
          <w:rFonts w:hint="eastAsia" w:ascii="仿宋" w:hAnsi="仿宋" w:eastAsia="仿宋" w:cs="仿宋"/>
          <w:b/>
          <w:sz w:val="24"/>
          <w:szCs w:val="24"/>
        </w:rPr>
        <w:t>三、服务质量要求</w:t>
      </w:r>
      <w:bookmarkEnd w:id="130"/>
    </w:p>
    <w:p>
      <w:pPr>
        <w:pStyle w:val="2"/>
        <w:ind w:left="0" w:leftChars="0" w:firstLine="240" w:firstLineChars="100"/>
        <w:rPr>
          <w:rFonts w:ascii="仿宋" w:hAnsi="仿宋" w:eastAsia="仿宋"/>
          <w:sz w:val="24"/>
          <w:szCs w:val="24"/>
        </w:rPr>
      </w:pPr>
      <w:r>
        <w:rPr>
          <w:rFonts w:ascii="仿宋" w:hAnsi="仿宋" w:eastAsia="仿宋"/>
          <w:sz w:val="24"/>
          <w:szCs w:val="24"/>
        </w:rPr>
        <w:t>※（一）产品质量保证期：自验收合格之日起，其投标产品质量保证期</w:t>
      </w:r>
      <w:r>
        <w:rPr>
          <w:rFonts w:hint="eastAsia" w:ascii="仿宋" w:hAnsi="仿宋" w:eastAsia="仿宋"/>
          <w:sz w:val="24"/>
          <w:szCs w:val="24"/>
        </w:rPr>
        <w:t>需≥</w:t>
      </w:r>
      <w:r>
        <w:rPr>
          <w:rFonts w:ascii="仿宋" w:hAnsi="仿宋" w:eastAsia="仿宋"/>
          <w:sz w:val="24"/>
          <w:szCs w:val="24"/>
        </w:rPr>
        <w:t>3年。</w:t>
      </w:r>
    </w:p>
    <w:p>
      <w:pPr>
        <w:pStyle w:val="2"/>
        <w:ind w:left="0" w:leftChars="0" w:firstLine="480"/>
        <w:rPr>
          <w:rFonts w:ascii="仿宋" w:hAnsi="仿宋" w:eastAsia="仿宋"/>
          <w:sz w:val="24"/>
          <w:szCs w:val="24"/>
        </w:rPr>
      </w:pPr>
      <w:r>
        <w:rPr>
          <w:rFonts w:ascii="仿宋" w:hAnsi="仿宋" w:eastAsia="仿宋"/>
          <w:sz w:val="24"/>
          <w:szCs w:val="24"/>
        </w:rPr>
        <w:t>（二）售后服务内容</w:t>
      </w:r>
    </w:p>
    <w:p>
      <w:pPr>
        <w:pStyle w:val="2"/>
        <w:ind w:left="0" w:leftChars="0" w:firstLine="480"/>
        <w:rPr>
          <w:rFonts w:ascii="仿宋" w:hAnsi="仿宋" w:eastAsia="仿宋"/>
          <w:sz w:val="24"/>
          <w:szCs w:val="24"/>
        </w:rPr>
      </w:pPr>
      <w:r>
        <w:rPr>
          <w:rFonts w:ascii="仿宋" w:hAnsi="仿宋" w:eastAsia="仿宋"/>
          <w:sz w:val="24"/>
          <w:szCs w:val="24"/>
        </w:rPr>
        <w:t>1.投标人和制造商在质量保证期内应当为采购人提供以下技术支持和服务：</w:t>
      </w:r>
    </w:p>
    <w:p>
      <w:pPr>
        <w:pStyle w:val="2"/>
        <w:ind w:left="0" w:leftChars="0" w:firstLine="480"/>
        <w:rPr>
          <w:rFonts w:ascii="仿宋" w:hAnsi="仿宋" w:eastAsia="仿宋"/>
          <w:sz w:val="24"/>
          <w:szCs w:val="24"/>
        </w:rPr>
      </w:pPr>
      <w:r>
        <w:rPr>
          <w:rFonts w:ascii="仿宋" w:hAnsi="仿宋" w:eastAsia="仿宋"/>
          <w:sz w:val="24"/>
          <w:szCs w:val="24"/>
        </w:rPr>
        <w:t>1.1电话咨询</w:t>
      </w:r>
    </w:p>
    <w:p>
      <w:pPr>
        <w:pStyle w:val="2"/>
        <w:ind w:left="0" w:leftChars="0" w:firstLine="480"/>
        <w:rPr>
          <w:rFonts w:ascii="仿宋" w:hAnsi="仿宋" w:eastAsia="仿宋"/>
          <w:sz w:val="24"/>
          <w:szCs w:val="24"/>
        </w:rPr>
      </w:pPr>
      <w:r>
        <w:rPr>
          <w:rFonts w:ascii="仿宋" w:hAnsi="仿宋" w:eastAsia="仿宋"/>
          <w:sz w:val="24"/>
          <w:szCs w:val="24"/>
        </w:rPr>
        <w:t>投标人和制造商应当为采购人提供技术援助电话，解答采购人在使用中遇到的问题，及时为采购人提出解决问题的建议。</w:t>
      </w:r>
    </w:p>
    <w:p>
      <w:pPr>
        <w:pStyle w:val="2"/>
        <w:ind w:left="0" w:leftChars="0" w:firstLine="480"/>
        <w:rPr>
          <w:rFonts w:ascii="仿宋" w:hAnsi="仿宋" w:eastAsia="仿宋"/>
          <w:sz w:val="24"/>
          <w:szCs w:val="24"/>
        </w:rPr>
      </w:pPr>
      <w:r>
        <w:rPr>
          <w:rFonts w:ascii="仿宋" w:hAnsi="仿宋" w:eastAsia="仿宋"/>
          <w:sz w:val="24"/>
          <w:szCs w:val="24"/>
        </w:rPr>
        <w:t>1.2现场响应</w:t>
      </w:r>
    </w:p>
    <w:p>
      <w:pPr>
        <w:pStyle w:val="2"/>
        <w:ind w:left="0" w:leftChars="0" w:firstLine="480"/>
        <w:rPr>
          <w:rFonts w:ascii="仿宋" w:hAnsi="仿宋" w:eastAsia="仿宋"/>
          <w:sz w:val="24"/>
          <w:szCs w:val="24"/>
        </w:rPr>
      </w:pPr>
      <w:r>
        <w:rPr>
          <w:rFonts w:ascii="仿宋" w:hAnsi="仿宋" w:eastAsia="仿宋"/>
          <w:sz w:val="24"/>
          <w:szCs w:val="24"/>
        </w:rPr>
        <w:t>采购人遇到使用及技术问题，电话咨询不能解决的，投标人和制造商应在12小时内到达现场（</w:t>
      </w:r>
      <w:r>
        <w:rPr>
          <w:rFonts w:ascii="仿宋" w:hAnsi="仿宋" w:eastAsia="仿宋"/>
          <w:i/>
          <w:iCs/>
          <w:sz w:val="24"/>
          <w:szCs w:val="24"/>
        </w:rPr>
        <w:t>远郊区24小时内到达现场</w:t>
      </w:r>
      <w:r>
        <w:rPr>
          <w:rFonts w:ascii="仿宋" w:hAnsi="仿宋" w:eastAsia="仿宋"/>
          <w:sz w:val="24"/>
          <w:szCs w:val="24"/>
        </w:rPr>
        <w:t>）进行处理，确保产品正常工作；无法在12小时内解决的，应在24小时内提供备用产品，使采购人能够正常使用。</w:t>
      </w:r>
    </w:p>
    <w:p>
      <w:pPr>
        <w:pStyle w:val="2"/>
        <w:ind w:left="0" w:leftChars="0" w:firstLine="480"/>
        <w:rPr>
          <w:rFonts w:ascii="仿宋" w:hAnsi="仿宋" w:eastAsia="仿宋"/>
          <w:sz w:val="24"/>
          <w:szCs w:val="24"/>
        </w:rPr>
      </w:pPr>
      <w:r>
        <w:rPr>
          <w:rFonts w:ascii="仿宋" w:hAnsi="仿宋" w:eastAsia="仿宋"/>
          <w:sz w:val="24"/>
          <w:szCs w:val="24"/>
        </w:rPr>
        <w:t>1.3技术升级</w:t>
      </w:r>
    </w:p>
    <w:p>
      <w:pPr>
        <w:pStyle w:val="2"/>
        <w:ind w:left="0" w:leftChars="0" w:firstLine="480"/>
        <w:rPr>
          <w:rFonts w:ascii="仿宋" w:hAnsi="仿宋" w:eastAsia="仿宋"/>
          <w:sz w:val="24"/>
          <w:szCs w:val="24"/>
        </w:rPr>
      </w:pPr>
      <w:r>
        <w:rPr>
          <w:rFonts w:ascii="仿宋" w:hAnsi="仿宋" w:eastAsia="仿宋"/>
          <w:sz w:val="24"/>
          <w:szCs w:val="24"/>
        </w:rPr>
        <w:t>在质保期内，如果投标人和制造商的产品技术升级，投标人应及时通知采购人，如采购人有相应要求，投标人和制造商应对采购人购买的产品进行升级服务。</w:t>
      </w:r>
    </w:p>
    <w:p>
      <w:pPr>
        <w:pStyle w:val="2"/>
        <w:ind w:left="0" w:leftChars="0" w:firstLine="480"/>
        <w:rPr>
          <w:rFonts w:ascii="仿宋" w:hAnsi="仿宋" w:eastAsia="仿宋"/>
          <w:sz w:val="24"/>
          <w:szCs w:val="24"/>
        </w:rPr>
      </w:pPr>
      <w:r>
        <w:rPr>
          <w:rFonts w:ascii="仿宋" w:hAnsi="仿宋" w:eastAsia="仿宋"/>
          <w:sz w:val="24"/>
          <w:szCs w:val="24"/>
        </w:rPr>
        <w:t>2.质保期外服务要求</w:t>
      </w:r>
    </w:p>
    <w:p>
      <w:pPr>
        <w:pStyle w:val="2"/>
        <w:ind w:left="0" w:leftChars="0" w:firstLine="480"/>
        <w:rPr>
          <w:rFonts w:ascii="仿宋" w:hAnsi="仿宋" w:eastAsia="仿宋"/>
          <w:sz w:val="24"/>
          <w:szCs w:val="24"/>
        </w:rPr>
      </w:pPr>
      <w:r>
        <w:rPr>
          <w:rFonts w:ascii="仿宋" w:hAnsi="仿宋" w:eastAsia="仿宋"/>
          <w:sz w:val="24"/>
          <w:szCs w:val="24"/>
        </w:rPr>
        <w:t>2.1质量保证期过后，投标人和制造商应同样提供免费电话咨询服务，并应承诺提供产品上门维护服务。</w:t>
      </w:r>
    </w:p>
    <w:p>
      <w:pPr>
        <w:pStyle w:val="2"/>
        <w:ind w:left="0" w:leftChars="0" w:firstLine="480"/>
        <w:rPr>
          <w:rFonts w:ascii="仿宋" w:hAnsi="仿宋" w:eastAsia="仿宋"/>
          <w:sz w:val="24"/>
          <w:szCs w:val="24"/>
        </w:rPr>
      </w:pPr>
      <w:r>
        <w:rPr>
          <w:rFonts w:ascii="仿宋" w:hAnsi="仿宋" w:eastAsia="仿宋"/>
          <w:sz w:val="24"/>
          <w:szCs w:val="24"/>
        </w:rPr>
        <w:t>2.2质量保证期过后，采购人需要继续由原投标人和制造商提供售后服务的，该投标人和制造商应以优惠价格提供售后服务。</w:t>
      </w:r>
    </w:p>
    <w:p>
      <w:pPr>
        <w:pStyle w:val="2"/>
        <w:ind w:left="0" w:leftChars="0" w:firstLine="480"/>
        <w:rPr>
          <w:rFonts w:ascii="仿宋" w:hAnsi="仿宋" w:eastAsia="仿宋"/>
          <w:sz w:val="24"/>
          <w:szCs w:val="24"/>
        </w:rPr>
      </w:pPr>
      <w:r>
        <w:rPr>
          <w:rFonts w:ascii="仿宋" w:hAnsi="仿宋" w:eastAsia="仿宋"/>
          <w:sz w:val="24"/>
          <w:szCs w:val="24"/>
        </w:rPr>
        <w:t>（三）备品备件及易损件</w:t>
      </w:r>
    </w:p>
    <w:p>
      <w:pPr>
        <w:pStyle w:val="2"/>
        <w:ind w:left="0" w:leftChars="0" w:firstLine="480"/>
        <w:rPr>
          <w:rFonts w:ascii="仿宋" w:hAnsi="仿宋" w:eastAsia="仿宋"/>
          <w:sz w:val="24"/>
          <w:szCs w:val="24"/>
        </w:rPr>
      </w:pPr>
      <w:r>
        <w:rPr>
          <w:rFonts w:ascii="仿宋" w:hAnsi="仿宋" w:eastAsia="仿宋"/>
          <w:sz w:val="24"/>
          <w:szCs w:val="24"/>
        </w:rPr>
        <w:t>投标人和制造商售后服务中，维修使用的备品备件及易损件应为原厂配件，未经采购人同意不得使用非原厂配件，常用的、容易损坏的备品备件及易损件的价格清单须在投标文件中列出。</w:t>
      </w:r>
    </w:p>
    <w:p>
      <w:pPr>
        <w:pStyle w:val="2"/>
        <w:ind w:left="560" w:firstLine="480"/>
        <w:rPr>
          <w:rFonts w:ascii="仿宋" w:hAnsi="仿宋" w:eastAsia="仿宋"/>
          <w:sz w:val="24"/>
          <w:szCs w:val="24"/>
        </w:rPr>
      </w:pPr>
    </w:p>
    <w:p>
      <w:pPr>
        <w:rPr>
          <w:rFonts w:ascii="仿宋" w:hAnsi="仿宋" w:eastAsia="仿宋" w:cs="仿宋"/>
          <w:bCs/>
          <w:sz w:val="24"/>
          <w:szCs w:val="24"/>
        </w:rPr>
      </w:pPr>
    </w:p>
    <w:p>
      <w:pPr>
        <w:keepNext/>
        <w:keepLines/>
        <w:spacing w:line="500" w:lineRule="exact"/>
        <w:outlineLvl w:val="1"/>
        <w:rPr>
          <w:rFonts w:ascii="仿宋" w:hAnsi="仿宋" w:eastAsia="仿宋" w:cs="仿宋"/>
          <w:bCs/>
          <w:sz w:val="24"/>
          <w:szCs w:val="24"/>
        </w:rPr>
      </w:pPr>
      <w:bookmarkStart w:id="131" w:name="_Toc80882084"/>
      <w:r>
        <w:rPr>
          <w:rFonts w:hint="eastAsia" w:ascii="仿宋" w:hAnsi="仿宋" w:eastAsia="仿宋" w:cs="仿宋"/>
          <w:b/>
          <w:sz w:val="24"/>
          <w:szCs w:val="24"/>
        </w:rPr>
        <w:t>四、付款方式</w:t>
      </w:r>
      <w:bookmarkEnd w:id="131"/>
    </w:p>
    <w:p>
      <w:pPr>
        <w:ind w:firstLine="480" w:firstLineChars="200"/>
        <w:rPr>
          <w:rFonts w:ascii="仿宋" w:hAnsi="仿宋" w:eastAsia="仿宋" w:cs="仿宋"/>
          <w:bCs/>
          <w:sz w:val="24"/>
          <w:szCs w:val="24"/>
        </w:rPr>
      </w:pPr>
      <w:r>
        <w:rPr>
          <w:rFonts w:ascii="仿宋" w:hAnsi="仿宋" w:eastAsia="仿宋" w:cs="仿宋"/>
          <w:bCs/>
          <w:sz w:val="24"/>
          <w:szCs w:val="24"/>
        </w:rPr>
        <w:t>（一）</w:t>
      </w:r>
      <w:bookmarkStart w:id="132" w:name="OLE_LINK3"/>
      <w:bookmarkEnd w:id="132"/>
      <w:r>
        <w:rPr>
          <w:rFonts w:ascii="仿宋" w:hAnsi="仿宋" w:eastAsia="仿宋" w:cs="仿宋"/>
          <w:bCs/>
          <w:sz w:val="24"/>
          <w:szCs w:val="24"/>
        </w:rPr>
        <w:t>合同签订时中标人向采购人缴纳合同金额5%的</w:t>
      </w:r>
      <w:r>
        <w:rPr>
          <w:rFonts w:hint="eastAsia" w:ascii="仿宋" w:hAnsi="仿宋" w:eastAsia="仿宋" w:cs="仿宋"/>
          <w:bCs/>
          <w:sz w:val="24"/>
          <w:szCs w:val="24"/>
        </w:rPr>
        <w:t>质量</w:t>
      </w:r>
      <w:r>
        <w:rPr>
          <w:rFonts w:ascii="仿宋" w:hAnsi="仿宋" w:eastAsia="仿宋" w:cs="仿宋"/>
          <w:bCs/>
          <w:sz w:val="24"/>
          <w:szCs w:val="24"/>
        </w:rPr>
        <w:t>保证金；</w:t>
      </w:r>
    </w:p>
    <w:p>
      <w:pPr>
        <w:ind w:firstLine="480" w:firstLineChars="200"/>
        <w:rPr>
          <w:rFonts w:ascii="仿宋" w:hAnsi="仿宋" w:eastAsia="仿宋" w:cs="仿宋"/>
          <w:bCs/>
          <w:sz w:val="24"/>
          <w:szCs w:val="24"/>
        </w:rPr>
      </w:pPr>
      <w:r>
        <w:rPr>
          <w:rFonts w:ascii="仿宋" w:hAnsi="仿宋" w:eastAsia="仿宋" w:cs="仿宋"/>
          <w:bCs/>
          <w:sz w:val="24"/>
          <w:szCs w:val="24"/>
        </w:rPr>
        <w:t>（二）中标人按采购合同交货并安装调试完成，经验收合格后采购人出具项目验收报告；</w:t>
      </w:r>
    </w:p>
    <w:p>
      <w:pPr>
        <w:ind w:firstLine="480" w:firstLineChars="200"/>
        <w:rPr>
          <w:rFonts w:ascii="仿宋" w:hAnsi="仿宋" w:eastAsia="仿宋" w:cs="仿宋"/>
          <w:bCs/>
          <w:sz w:val="24"/>
          <w:szCs w:val="24"/>
        </w:rPr>
      </w:pPr>
      <w:r>
        <w:rPr>
          <w:rFonts w:ascii="仿宋" w:hAnsi="仿宋" w:eastAsia="仿宋" w:cs="仿宋"/>
          <w:bCs/>
          <w:sz w:val="24"/>
          <w:szCs w:val="24"/>
        </w:rPr>
        <w:t>（三）中标人向采购人开具发票，采购人以转账方式向中标人支付合同全款；</w:t>
      </w:r>
    </w:p>
    <w:p>
      <w:pPr>
        <w:ind w:firstLine="480" w:firstLineChars="200"/>
        <w:rPr>
          <w:rFonts w:ascii="仿宋" w:hAnsi="仿宋" w:eastAsia="仿宋" w:cs="仿宋"/>
          <w:bCs/>
          <w:sz w:val="24"/>
          <w:szCs w:val="24"/>
        </w:rPr>
      </w:pPr>
      <w:r>
        <w:rPr>
          <w:rFonts w:ascii="仿宋" w:hAnsi="仿宋" w:eastAsia="仿宋" w:cs="仿宋"/>
          <w:bCs/>
          <w:sz w:val="24"/>
          <w:szCs w:val="24"/>
        </w:rPr>
        <w:t>（四）</w:t>
      </w:r>
      <w:r>
        <w:rPr>
          <w:rFonts w:hint="eastAsia" w:ascii="仿宋" w:hAnsi="仿宋" w:eastAsia="仿宋" w:cs="仿宋"/>
          <w:bCs/>
          <w:sz w:val="24"/>
          <w:szCs w:val="24"/>
        </w:rPr>
        <w:t>质量</w:t>
      </w:r>
      <w:r>
        <w:rPr>
          <w:rFonts w:ascii="仿宋" w:hAnsi="仿宋" w:eastAsia="仿宋" w:cs="仿宋"/>
          <w:bCs/>
          <w:sz w:val="24"/>
          <w:szCs w:val="24"/>
        </w:rPr>
        <w:t>保证金无息退还时间</w:t>
      </w:r>
      <w:r>
        <w:rPr>
          <w:rFonts w:hint="eastAsia" w:ascii="仿宋" w:hAnsi="仿宋" w:eastAsia="仿宋" w:cs="仿宋"/>
          <w:bCs/>
          <w:sz w:val="24"/>
          <w:szCs w:val="24"/>
        </w:rPr>
        <w:t>：免费质保期满后，如无质量问题，或质量问题已解决，采购人向中标单位无息退还履约保证金；如有质量问题，在赔偿采购人的损失后无息退还给中标单位。</w:t>
      </w:r>
    </w:p>
    <w:p>
      <w:pPr>
        <w:pStyle w:val="4"/>
        <w:rPr>
          <w:rFonts w:ascii="仿宋" w:hAnsi="仿宋" w:eastAsia="仿宋" w:cs="仿宋"/>
          <w:sz w:val="24"/>
          <w:szCs w:val="24"/>
        </w:rPr>
      </w:pPr>
      <w:bookmarkStart w:id="133" w:name="_Toc80882085"/>
      <w:r>
        <w:rPr>
          <w:rFonts w:hint="eastAsia" w:ascii="仿宋" w:hAnsi="仿宋" w:eastAsia="仿宋" w:cs="仿宋"/>
          <w:sz w:val="24"/>
          <w:szCs w:val="24"/>
        </w:rPr>
        <w:t>五、知识产权</w:t>
      </w:r>
      <w:bookmarkEnd w:id="133"/>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（三）供应商如果在其设计文件中使用或包含任何其他人的知识产权或专有技术或商业秘密，应保证已经获得权利人的合法、有效、充分的授权。</w:t>
      </w:r>
    </w:p>
    <w:p>
      <w:pPr>
        <w:keepNext/>
        <w:keepLines/>
        <w:spacing w:line="500" w:lineRule="exact"/>
        <w:outlineLvl w:val="1"/>
        <w:rPr>
          <w:rFonts w:ascii="仿宋" w:hAnsi="仿宋" w:eastAsia="仿宋" w:cs="仿宋"/>
          <w:b/>
          <w:sz w:val="24"/>
          <w:szCs w:val="24"/>
        </w:rPr>
      </w:pPr>
      <w:bookmarkStart w:id="134" w:name="_Toc80882086"/>
      <w:r>
        <w:rPr>
          <w:rFonts w:hint="eastAsia" w:ascii="仿宋" w:hAnsi="仿宋" w:eastAsia="仿宋" w:cs="仿宋"/>
          <w:b/>
          <w:sz w:val="24"/>
          <w:szCs w:val="24"/>
        </w:rPr>
        <w:t>六、培训</w:t>
      </w:r>
      <w:bookmarkEnd w:id="134"/>
    </w:p>
    <w:p>
      <w:pPr>
        <w:pStyle w:val="2"/>
        <w:ind w:left="0" w:leftChars="0" w:firstLine="480"/>
        <w:rPr>
          <w:rFonts w:ascii="仿宋" w:hAnsi="仿宋" w:eastAsia="仿宋" w:cs="仿宋"/>
          <w:bCs/>
          <w:sz w:val="24"/>
          <w:szCs w:val="24"/>
        </w:rPr>
      </w:pPr>
      <w:r>
        <w:rPr>
          <w:rFonts w:ascii="仿宋" w:hAnsi="仿宋" w:eastAsia="仿宋" w:cs="仿宋"/>
          <w:bCs/>
          <w:sz w:val="24"/>
          <w:szCs w:val="24"/>
        </w:rPr>
        <w:t>投标人对其提供产品的使用和操作应尽培训义务。投标人应提供对采购人的基本免费培训，使采购人使用人员能够正常操作。</w:t>
      </w:r>
    </w:p>
    <w:p>
      <w:pPr>
        <w:pStyle w:val="4"/>
        <w:rPr>
          <w:rFonts w:ascii="仿宋" w:hAnsi="仿宋" w:eastAsia="仿宋" w:cs="仿宋"/>
          <w:bCs/>
          <w:sz w:val="24"/>
          <w:szCs w:val="24"/>
        </w:rPr>
      </w:pPr>
      <w:bookmarkStart w:id="135" w:name="_Toc80882087"/>
      <w:r>
        <w:rPr>
          <w:rFonts w:ascii="仿宋" w:hAnsi="仿宋" w:eastAsia="仿宋" w:cs="仿宋"/>
          <w:bCs/>
          <w:sz w:val="24"/>
          <w:szCs w:val="24"/>
        </w:rPr>
        <w:t>七、附件、图纸及包装要求</w:t>
      </w:r>
      <w:bookmarkEnd w:id="135"/>
    </w:p>
    <w:p>
      <w:pPr>
        <w:pStyle w:val="2"/>
        <w:ind w:left="0" w:leftChars="0" w:firstLine="480"/>
        <w:rPr>
          <w:rFonts w:ascii="仿宋" w:hAnsi="仿宋" w:eastAsia="仿宋" w:cs="仿宋"/>
          <w:bCs/>
          <w:sz w:val="24"/>
          <w:szCs w:val="24"/>
        </w:rPr>
      </w:pPr>
      <w:r>
        <w:rPr>
          <w:rFonts w:ascii="仿宋" w:hAnsi="仿宋" w:eastAsia="仿宋" w:cs="仿宋"/>
          <w:bCs/>
          <w:sz w:val="24"/>
          <w:szCs w:val="24"/>
        </w:rPr>
        <w:t>1.</w:t>
      </w:r>
      <w:r>
        <w:rPr>
          <w:rFonts w:hint="eastAsia" w:ascii="仿宋" w:hAnsi="仿宋" w:eastAsia="仿宋" w:cs="仿宋"/>
          <w:bCs/>
          <w:sz w:val="24"/>
          <w:szCs w:val="24"/>
        </w:rPr>
        <w:t>LED显示屏所用设备材料的相关检测报告或产品合格证等</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2</w:t>
      </w:r>
      <w:r>
        <w:rPr>
          <w:rFonts w:ascii="仿宋" w:hAnsi="仿宋" w:eastAsia="仿宋" w:cs="仿宋"/>
          <w:bCs/>
          <w:sz w:val="24"/>
          <w:szCs w:val="24"/>
        </w:rPr>
        <w:t>.</w:t>
      </w:r>
      <w:r>
        <w:rPr>
          <w:rFonts w:hint="eastAsia" w:ascii="仿宋" w:hAnsi="仿宋" w:eastAsia="仿宋" w:cs="仿宋"/>
          <w:bCs/>
          <w:sz w:val="24"/>
          <w:szCs w:val="24"/>
        </w:rPr>
        <w:t>广告标识字设计初图（包括但不限于效果图，尺寸图，材质，颜色，工艺等，可单独装订成册）</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3</w:t>
      </w:r>
      <w:r>
        <w:rPr>
          <w:rFonts w:ascii="仿宋" w:hAnsi="仿宋" w:eastAsia="仿宋" w:cs="仿宋"/>
          <w:bCs/>
          <w:sz w:val="24"/>
          <w:szCs w:val="24"/>
        </w:rPr>
        <w:t>.</w:t>
      </w:r>
      <w:r>
        <w:rPr>
          <w:rFonts w:hint="eastAsia" w:ascii="仿宋" w:hAnsi="仿宋" w:eastAsia="仿宋" w:cs="仿宋"/>
          <w:bCs/>
          <w:sz w:val="24"/>
          <w:szCs w:val="24"/>
        </w:rPr>
        <w:t>具体安装施工方案、用料清单（清单需附明参数及单价）</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4所用主材及辅材检测报告</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5</w:t>
      </w:r>
      <w:r>
        <w:rPr>
          <w:rFonts w:ascii="仿宋" w:hAnsi="仿宋" w:eastAsia="仿宋" w:cs="仿宋"/>
          <w:bCs/>
          <w:sz w:val="24"/>
          <w:szCs w:val="24"/>
        </w:rPr>
        <w:t>.</w:t>
      </w:r>
      <w:r>
        <w:rPr>
          <w:rFonts w:hint="eastAsia" w:ascii="仿宋" w:hAnsi="仿宋" w:eastAsia="仿宋" w:cs="仿宋"/>
          <w:bCs/>
          <w:sz w:val="24"/>
          <w:szCs w:val="24"/>
        </w:rPr>
        <w:t>与项目相关的其他需提供证明、承诺书等。</w:t>
      </w:r>
    </w:p>
    <w:p>
      <w:pPr>
        <w:pStyle w:val="2"/>
        <w:ind w:left="0" w:leftChars="0" w:firstLine="482"/>
        <w:rPr>
          <w:rFonts w:ascii="仿宋" w:hAnsi="仿宋" w:eastAsia="仿宋" w:cs="仿宋"/>
          <w:b/>
          <w:bCs/>
          <w:sz w:val="24"/>
          <w:szCs w:val="24"/>
        </w:rPr>
      </w:pPr>
      <w:r>
        <w:rPr>
          <w:rFonts w:hint="eastAsia" w:ascii="仿宋" w:hAnsi="仿宋" w:eastAsia="仿宋" w:cs="仿宋"/>
          <w:b/>
          <w:bCs/>
          <w:sz w:val="24"/>
          <w:szCs w:val="24"/>
        </w:rPr>
        <w:t>特别提醒：</w:t>
      </w:r>
      <w:r>
        <w:rPr>
          <w:rFonts w:ascii="仿宋" w:hAnsi="仿宋" w:eastAsia="仿宋" w:cs="仿宋"/>
          <w:b/>
          <w:bCs/>
          <w:sz w:val="24"/>
          <w:szCs w:val="24"/>
        </w:rPr>
        <w:t>1.</w:t>
      </w:r>
      <w:r>
        <w:rPr>
          <w:rFonts w:hint="eastAsia" w:ascii="仿宋" w:hAnsi="仿宋" w:eastAsia="仿宋" w:cs="仿宋"/>
          <w:b/>
          <w:bCs/>
          <w:sz w:val="24"/>
          <w:szCs w:val="24"/>
        </w:rPr>
        <w:t>所有投标资料必须全部密封完整，一式三份（一正二副）；</w:t>
      </w:r>
    </w:p>
    <w:p>
      <w:pPr>
        <w:pStyle w:val="2"/>
        <w:ind w:left="1982" w:leftChars="602" w:hanging="296" w:hangingChars="123"/>
        <w:rPr>
          <w:rFonts w:ascii="仿宋" w:hAnsi="仿宋" w:eastAsia="仿宋" w:cs="仿宋"/>
          <w:b/>
          <w:bCs/>
          <w:sz w:val="24"/>
          <w:szCs w:val="24"/>
        </w:rPr>
      </w:pPr>
      <w:r>
        <w:rPr>
          <w:rFonts w:ascii="仿宋" w:hAnsi="仿宋" w:eastAsia="仿宋" w:cs="仿宋"/>
          <w:b/>
          <w:bCs/>
          <w:sz w:val="24"/>
          <w:szCs w:val="24"/>
        </w:rPr>
        <w:t>2.</w:t>
      </w:r>
      <w:r>
        <w:rPr>
          <w:rFonts w:hint="eastAsia" w:ascii="仿宋" w:hAnsi="仿宋" w:eastAsia="仿宋" w:cs="仿宋"/>
          <w:b/>
          <w:bCs/>
          <w:sz w:val="24"/>
          <w:szCs w:val="24"/>
        </w:rPr>
        <w:t>第五篇 一、磋商程序及方法 （二）资格性审查中所需</w:t>
      </w:r>
      <w:r>
        <w:rPr>
          <w:rFonts w:hint="eastAsia" w:ascii="仿宋" w:hAnsi="仿宋" w:eastAsia="仿宋" w:cs="仿宋"/>
          <w:b/>
          <w:kern w:val="0"/>
          <w:sz w:val="24"/>
          <w:szCs w:val="24"/>
        </w:rPr>
        <w:t>资格性检查资料应于其他材料分开装订</w:t>
      </w:r>
      <w:r>
        <w:rPr>
          <w:rFonts w:hint="eastAsia" w:ascii="仿宋" w:hAnsi="仿宋" w:eastAsia="仿宋" w:cs="仿宋"/>
          <w:b/>
          <w:bCs/>
          <w:sz w:val="24"/>
          <w:szCs w:val="24"/>
        </w:rPr>
        <w:t>）</w:t>
      </w:r>
    </w:p>
    <w:p>
      <w:pPr>
        <w:pStyle w:val="4"/>
        <w:rPr>
          <w:rFonts w:ascii="仿宋" w:hAnsi="仿宋" w:eastAsia="仿宋" w:cs="仿宋"/>
          <w:sz w:val="24"/>
          <w:szCs w:val="24"/>
        </w:rPr>
      </w:pPr>
      <w:bookmarkStart w:id="136" w:name="_Toc267320054"/>
      <w:bookmarkEnd w:id="136"/>
      <w:bookmarkStart w:id="137" w:name="_Toc75793516"/>
      <w:bookmarkStart w:id="138" w:name="_Toc80882088"/>
      <w:r>
        <w:rPr>
          <w:rFonts w:ascii="仿宋" w:hAnsi="仿宋" w:eastAsia="仿宋" w:cs="仿宋"/>
          <w:bCs/>
          <w:sz w:val="24"/>
          <w:szCs w:val="24"/>
        </w:rPr>
        <w:t>八、</w:t>
      </w:r>
      <w:bookmarkEnd w:id="137"/>
      <w:r>
        <w:rPr>
          <w:rFonts w:hint="eastAsia" w:ascii="仿宋" w:hAnsi="仿宋" w:eastAsia="仿宋" w:cs="仿宋"/>
          <w:sz w:val="24"/>
          <w:szCs w:val="24"/>
        </w:rPr>
        <w:t>其他</w:t>
      </w:r>
      <w:bookmarkEnd w:id="138"/>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（一）供应商必须在响应文件中对以上条款和服务承诺明确列出，承诺内容必须达到本篇及竞争性磋商文件其他条款的要求。</w:t>
      </w:r>
    </w:p>
    <w:p>
      <w:pPr>
        <w:pStyle w:val="2"/>
        <w:ind w:left="0" w:leftChars="0" w:firstLine="480"/>
        <w:rPr>
          <w:rFonts w:ascii="仿宋" w:hAnsi="仿宋" w:eastAsia="仿宋" w:cs="仿宋"/>
          <w:bCs/>
          <w:sz w:val="24"/>
          <w:szCs w:val="24"/>
        </w:rPr>
      </w:pPr>
      <w:r>
        <w:rPr>
          <w:rFonts w:hint="eastAsia" w:ascii="仿宋" w:hAnsi="仿宋" w:eastAsia="仿宋" w:cs="仿宋"/>
          <w:bCs/>
          <w:sz w:val="24"/>
          <w:szCs w:val="24"/>
        </w:rPr>
        <w:t>（二）其他未尽事宜由供需双方在采购合同中详细约定。</w:t>
      </w:r>
    </w:p>
    <w:p>
      <w:pPr>
        <w:pStyle w:val="2"/>
        <w:ind w:left="0" w:leftChars="0" w:firstLine="480"/>
        <w:rPr>
          <w:rFonts w:ascii="仿宋" w:hAnsi="仿宋" w:eastAsia="仿宋" w:cs="仿宋"/>
          <w:bCs/>
          <w:sz w:val="24"/>
          <w:szCs w:val="24"/>
        </w:rPr>
      </w:pPr>
    </w:p>
    <w:p>
      <w:pPr>
        <w:widowControl/>
        <w:jc w:val="left"/>
        <w:rPr>
          <w:rFonts w:ascii="仿宋_GB2312" w:eastAsia="仿宋_GB2312"/>
          <w:sz w:val="32"/>
        </w:rPr>
      </w:pPr>
      <w:r>
        <w:br w:type="page"/>
      </w:r>
    </w:p>
    <w:p>
      <w:pPr>
        <w:pStyle w:val="5"/>
      </w:pPr>
    </w:p>
    <w:p>
      <w:pPr>
        <w:spacing w:line="360" w:lineRule="auto"/>
        <w:outlineLvl w:val="0"/>
        <w:rPr>
          <w:rFonts w:ascii="仿宋" w:hAnsi="仿宋" w:eastAsia="仿宋" w:cs="仿宋"/>
          <w:b/>
          <w:bCs/>
          <w:sz w:val="36"/>
          <w:szCs w:val="30"/>
        </w:rPr>
      </w:pPr>
      <w:bookmarkStart w:id="139" w:name="_Toc80882089"/>
      <w:r>
        <w:rPr>
          <w:rFonts w:hint="eastAsia" w:ascii="仿宋" w:hAnsi="仿宋" w:eastAsia="仿宋" w:cs="仿宋"/>
          <w:b/>
          <w:bCs/>
          <w:sz w:val="36"/>
          <w:szCs w:val="30"/>
        </w:rPr>
        <w:t>第五篇  磋商程序及方法、评审标准、无效响应和采购终止</w:t>
      </w:r>
      <w:bookmarkEnd w:id="139"/>
    </w:p>
    <w:p>
      <w:pPr>
        <w:spacing w:line="440" w:lineRule="exact"/>
        <w:outlineLvl w:val="1"/>
        <w:rPr>
          <w:rFonts w:ascii="仿宋" w:hAnsi="仿宋" w:eastAsia="仿宋" w:cs="仿宋"/>
          <w:b/>
          <w:bCs/>
          <w:sz w:val="24"/>
          <w:szCs w:val="24"/>
        </w:rPr>
      </w:pPr>
      <w:bookmarkStart w:id="140" w:name="_Toc80882090"/>
      <w:r>
        <w:rPr>
          <w:rFonts w:hint="eastAsia" w:ascii="仿宋" w:hAnsi="仿宋" w:eastAsia="仿宋" w:cs="仿宋"/>
          <w:b/>
          <w:bCs/>
          <w:sz w:val="24"/>
          <w:szCs w:val="24"/>
        </w:rPr>
        <w:t>一、磋商程序及方法</w:t>
      </w:r>
      <w:bookmarkEnd w:id="140"/>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（二）磋商小组对各供应商的资格条件、响应文件的有效性、完整性和响应程度进行审查。各供应商只有在完全符合要求的前提下，才能参与正式磋商。</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资格性检查。依据法律法规和竞争性磋商文件的规定，对响应文件中的资格证明、磋商保证金等进行审查，以确定供应商是否具备磋商资格。资格性检查资料表如下：</w:t>
      </w:r>
    </w:p>
    <w:tbl>
      <w:tblPr>
        <w:tblStyle w:val="15"/>
        <w:tblW w:w="9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005"/>
        <w:gridCol w:w="1872"/>
        <w:gridCol w:w="6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80" w:type="dxa"/>
            <w:vAlign w:val="center"/>
          </w:tcPr>
          <w:p>
            <w:pPr>
              <w:rPr>
                <w:rFonts w:ascii="仿宋" w:hAnsi="仿宋" w:eastAsia="仿宋"/>
                <w:sz w:val="24"/>
                <w:szCs w:val="24"/>
              </w:rPr>
            </w:pPr>
            <w:r>
              <w:rPr>
                <w:rFonts w:hint="eastAsia" w:ascii="仿宋" w:hAnsi="仿宋" w:eastAsia="仿宋"/>
                <w:sz w:val="24"/>
                <w:szCs w:val="24"/>
              </w:rPr>
              <w:t>序号</w:t>
            </w:r>
          </w:p>
        </w:tc>
        <w:tc>
          <w:tcPr>
            <w:tcW w:w="2877" w:type="dxa"/>
            <w:gridSpan w:val="2"/>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检查因素</w:t>
            </w:r>
          </w:p>
        </w:tc>
        <w:tc>
          <w:tcPr>
            <w:tcW w:w="6054" w:type="dxa"/>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1"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1</w:t>
            </w:r>
          </w:p>
        </w:tc>
        <w:tc>
          <w:tcPr>
            <w:tcW w:w="1005" w:type="dxa"/>
            <w:vMerge w:val="restart"/>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竞标人应符合的基本资格条件</w:t>
            </w:r>
          </w:p>
        </w:tc>
        <w:tc>
          <w:tcPr>
            <w:tcW w:w="1872" w:type="dxa"/>
            <w:vAlign w:val="center"/>
          </w:tcPr>
          <w:p>
            <w:pPr>
              <w:snapToGrid w:val="0"/>
              <w:spacing w:line="400" w:lineRule="exact"/>
              <w:rPr>
                <w:rFonts w:ascii="仿宋" w:hAnsi="仿宋"/>
                <w:sz w:val="21"/>
                <w:szCs w:val="21"/>
              </w:rPr>
            </w:pPr>
            <w:r>
              <w:rPr>
                <w:rFonts w:hint="eastAsia" w:ascii="仿宋" w:hAnsi="仿宋" w:eastAsia="仿宋" w:cs="宋体"/>
                <w:sz w:val="21"/>
                <w:szCs w:val="21"/>
              </w:rPr>
              <w:t>（1）具有独立承担民事责任的能力</w:t>
            </w:r>
          </w:p>
        </w:tc>
        <w:tc>
          <w:tcPr>
            <w:tcW w:w="6054" w:type="dxa"/>
            <w:vAlign w:val="center"/>
          </w:tcPr>
          <w:p>
            <w:pPr>
              <w:spacing w:line="400" w:lineRule="exact"/>
              <w:rPr>
                <w:rFonts w:ascii="仿宋" w:hAnsi="仿宋" w:eastAsia="仿宋" w:cs="宋体"/>
                <w:sz w:val="21"/>
                <w:szCs w:val="21"/>
              </w:rPr>
            </w:pPr>
            <w:r>
              <w:rPr>
                <w:rFonts w:hint="eastAsia" w:ascii="仿宋" w:hAnsi="仿宋" w:eastAsia="仿宋" w:cs="宋体"/>
                <w:sz w:val="21"/>
                <w:szCs w:val="21"/>
              </w:rPr>
              <w:t>提供真实有效的营业执照复印件并加盖公章，并且营业执照的经营范围必须是与本次招标项目有关的范围，法定代表人身份证明书以及法定代表人授权委托书。</w:t>
            </w:r>
          </w:p>
          <w:p>
            <w:pPr>
              <w:spacing w:line="400" w:lineRule="exact"/>
              <w:rPr>
                <w:rFonts w:ascii="仿宋" w:hAnsi="仿宋"/>
                <w:sz w:val="21"/>
                <w:szCs w:val="21"/>
              </w:rPr>
            </w:pPr>
            <w:r>
              <w:rPr>
                <w:rFonts w:hint="eastAsia" w:ascii="仿宋" w:hAnsi="仿宋" w:eastAsia="仿宋" w:cs="仿宋"/>
                <w:sz w:val="21"/>
                <w:szCs w:val="21"/>
              </w:rPr>
              <w:t>不具有独立法人的分公司、办事处等分支机构不能参加磋商。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（2）具有良好的商业信誉和健全的财务会计制度</w:t>
            </w:r>
          </w:p>
        </w:tc>
        <w:tc>
          <w:tcPr>
            <w:tcW w:w="6054" w:type="dxa"/>
            <w:vAlign w:val="center"/>
          </w:tcPr>
          <w:p>
            <w:pPr>
              <w:rPr>
                <w:rFonts w:ascii="仿宋" w:hAnsi="仿宋" w:eastAsia="仿宋" w:cs="宋体"/>
                <w:sz w:val="21"/>
                <w:szCs w:val="21"/>
              </w:rPr>
            </w:pPr>
            <w:r>
              <w:rPr>
                <w:rFonts w:hint="eastAsia" w:ascii="仿宋" w:hAnsi="仿宋" w:eastAsia="仿宋" w:cs="宋体"/>
                <w:sz w:val="21"/>
                <w:szCs w:val="21"/>
              </w:rPr>
              <w:t>提供2020年度财务状况报告（表）（表：资产负债表和损益表）复印件。本年度新成立或成立不满一年的组织提供磋商截止时间前一个月的财务报告（表）复印件或可提供银行出具的资信证明复印件。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（3）具有履行合同所必需的设备和专业技术能力</w:t>
            </w:r>
          </w:p>
        </w:tc>
        <w:tc>
          <w:tcPr>
            <w:tcW w:w="6054" w:type="dxa"/>
            <w:vAlign w:val="center"/>
          </w:tcPr>
          <w:p>
            <w:pPr>
              <w:spacing w:line="400" w:lineRule="exact"/>
              <w:rPr>
                <w:rFonts w:ascii="仿宋" w:hAnsi="仿宋"/>
                <w:sz w:val="21"/>
                <w:szCs w:val="21"/>
              </w:rPr>
            </w:pPr>
            <w:r>
              <w:rPr>
                <w:rFonts w:hint="eastAsia" w:ascii="仿宋" w:hAnsi="仿宋" w:eastAsia="仿宋" w:cs="宋体"/>
                <w:color w:val="000000"/>
                <w:sz w:val="21"/>
                <w:szCs w:val="21"/>
              </w:rPr>
              <w:t>供应商提供书面声明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5"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（4）有依法缴纳税收和社会保障金的良好记录</w:t>
            </w:r>
          </w:p>
        </w:tc>
        <w:tc>
          <w:tcPr>
            <w:tcW w:w="6054" w:type="dxa"/>
            <w:vAlign w:val="center"/>
          </w:tcPr>
          <w:p>
            <w:pPr>
              <w:rPr>
                <w:rFonts w:ascii="仿宋" w:hAnsi="仿宋" w:eastAsia="仿宋" w:cs="宋体"/>
                <w:sz w:val="21"/>
                <w:szCs w:val="21"/>
              </w:rPr>
            </w:pPr>
            <w:r>
              <w:rPr>
                <w:rFonts w:hint="eastAsia" w:ascii="仿宋" w:hAnsi="仿宋" w:eastAsia="仿宋" w:cs="宋体"/>
                <w:sz w:val="21"/>
                <w:szCs w:val="21"/>
              </w:rPr>
              <w:t>1.税务登记证（副本）复印件（注</w:t>
            </w:r>
            <w:r>
              <w:rPr>
                <w:rFonts w:ascii="仿宋" w:hAnsi="仿宋" w:eastAsia="仿宋" w:cs="宋体"/>
                <w:sz w:val="21"/>
                <w:szCs w:val="21"/>
              </w:rPr>
              <w:fldChar w:fldCharType="begin"/>
            </w:r>
            <w:r>
              <w:rPr>
                <w:rFonts w:hint="eastAsia" w:ascii="仿宋" w:hAnsi="仿宋" w:eastAsia="仿宋" w:cs="宋体"/>
                <w:sz w:val="21"/>
                <w:szCs w:val="21"/>
              </w:rPr>
              <w:instrText xml:space="preserve">eq \o\ac(○,1)</w:instrText>
            </w:r>
            <w:r>
              <w:rPr>
                <w:rFonts w:ascii="仿宋" w:hAnsi="仿宋" w:eastAsia="仿宋" w:cs="宋体"/>
                <w:sz w:val="21"/>
                <w:szCs w:val="21"/>
              </w:rPr>
              <w:fldChar w:fldCharType="end"/>
            </w:r>
            <w:r>
              <w:rPr>
                <w:rFonts w:hint="eastAsia" w:ascii="仿宋" w:hAnsi="仿宋" w:eastAsia="仿宋" w:cs="宋体"/>
                <w:sz w:val="21"/>
                <w:szCs w:val="21"/>
              </w:rPr>
              <w:t>）</w:t>
            </w:r>
          </w:p>
          <w:p>
            <w:pPr>
              <w:rPr>
                <w:rFonts w:ascii="仿宋" w:hAnsi="仿宋" w:eastAsia="仿宋" w:cs="宋体"/>
                <w:sz w:val="21"/>
                <w:szCs w:val="21"/>
              </w:rPr>
            </w:pPr>
            <w:r>
              <w:rPr>
                <w:rFonts w:hint="eastAsia" w:ascii="仿宋" w:hAnsi="仿宋" w:eastAsia="仿宋" w:cs="宋体"/>
                <w:sz w:val="21"/>
                <w:szCs w:val="21"/>
              </w:rPr>
              <w:t>2.2021年1-6月缴纳社会保障金的证明材料复印件（缴纳社会保障金的证明材料指：社会保险登记证（注</w:t>
            </w:r>
            <w:r>
              <w:rPr>
                <w:rFonts w:ascii="仿宋" w:hAnsi="仿宋" w:eastAsia="仿宋" w:cs="宋体"/>
                <w:sz w:val="21"/>
                <w:szCs w:val="21"/>
              </w:rPr>
              <w:fldChar w:fldCharType="begin"/>
            </w:r>
            <w:r>
              <w:rPr>
                <w:rFonts w:hint="eastAsia" w:ascii="仿宋" w:hAnsi="仿宋" w:eastAsia="仿宋" w:cs="宋体"/>
                <w:sz w:val="21"/>
                <w:szCs w:val="21"/>
              </w:rPr>
              <w:instrText xml:space="preserve">eq \o\ac(○,1)</w:instrText>
            </w:r>
            <w:r>
              <w:rPr>
                <w:rFonts w:ascii="仿宋" w:hAnsi="仿宋" w:eastAsia="仿宋" w:cs="宋体"/>
                <w:sz w:val="21"/>
                <w:szCs w:val="21"/>
              </w:rPr>
              <w:fldChar w:fldCharType="end"/>
            </w:r>
            <w:r>
              <w:rPr>
                <w:rFonts w:hint="eastAsia" w:ascii="仿宋" w:hAnsi="仿宋" w:eastAsia="仿宋" w:cs="宋体"/>
                <w:sz w:val="21"/>
                <w:szCs w:val="21"/>
              </w:rPr>
              <w:t>）或缴纳社会保险的凭据（专用收据或社会保险缴纳清单）。</w:t>
            </w:r>
          </w:p>
          <w:p>
            <w:pPr>
              <w:spacing w:line="400" w:lineRule="exact"/>
              <w:rPr>
                <w:rFonts w:ascii="仿宋" w:hAnsi="仿宋"/>
                <w:sz w:val="21"/>
                <w:szCs w:val="21"/>
              </w:rPr>
            </w:pPr>
            <w:r>
              <w:rPr>
                <w:rFonts w:hint="eastAsia" w:ascii="仿宋" w:hAnsi="仿宋" w:eastAsia="仿宋" w:cs="宋体"/>
                <w:sz w:val="21"/>
                <w:szCs w:val="21"/>
              </w:rPr>
              <w:t>3.依法免税或不需要缴纳社会保障资金的供应商，应提供相应文件证明其依法免税或不需要缴纳社会保障资金</w:t>
            </w:r>
            <w:r>
              <w:rPr>
                <w:rFonts w:ascii="仿宋" w:hAnsi="仿宋" w:eastAsia="仿宋" w:cs="宋体"/>
                <w:sz w:val="21"/>
                <w:szCs w:val="21"/>
              </w:rPr>
              <w:t>）</w:t>
            </w:r>
            <w:r>
              <w:rPr>
                <w:rFonts w:hint="eastAsia" w:ascii="仿宋" w:hAnsi="仿宋" w:eastAsia="仿宋"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（5）参加政府采购活动前三年内，在经营活动中没有重大违法记录</w:t>
            </w:r>
          </w:p>
        </w:tc>
        <w:tc>
          <w:tcPr>
            <w:tcW w:w="6054" w:type="dxa"/>
            <w:vAlign w:val="center"/>
          </w:tcPr>
          <w:p>
            <w:pPr>
              <w:rPr>
                <w:rFonts w:ascii="仿宋" w:hAnsi="仿宋" w:eastAsia="仿宋" w:cs="宋体"/>
                <w:sz w:val="21"/>
                <w:szCs w:val="21"/>
              </w:rPr>
            </w:pPr>
            <w:r>
              <w:rPr>
                <w:rFonts w:hint="eastAsia" w:ascii="仿宋" w:hAnsi="仿宋" w:eastAsia="仿宋" w:cs="宋体"/>
                <w:sz w:val="21"/>
                <w:szCs w:val="21"/>
              </w:rPr>
              <w:t>1.供应商提供书面声明（见格式文件）；</w:t>
            </w:r>
          </w:p>
          <w:p>
            <w:pPr>
              <w:spacing w:line="400" w:lineRule="exact"/>
              <w:rPr>
                <w:rFonts w:ascii="仿宋" w:hAnsi="仿宋" w:eastAsia="仿宋" w:cs="宋体"/>
                <w:sz w:val="21"/>
                <w:szCs w:val="21"/>
              </w:rPr>
            </w:pPr>
            <w:r>
              <w:rPr>
                <w:rFonts w:hint="eastAsia" w:ascii="仿宋" w:hAnsi="仿宋" w:eastAsia="仿宋" w:cs="宋体"/>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（6）法律、行政法规规定的其他条件</w:t>
            </w:r>
          </w:p>
        </w:tc>
        <w:tc>
          <w:tcPr>
            <w:tcW w:w="6054" w:type="dxa"/>
            <w:vAlign w:val="center"/>
          </w:tcPr>
          <w:p>
            <w:pPr>
              <w:snapToGrid w:val="0"/>
              <w:spacing w:line="400" w:lineRule="exact"/>
              <w:rPr>
                <w:rFonts w:ascii="仿宋" w:hAnsi="仿宋" w:eastAsia="仿宋"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2</w:t>
            </w:r>
          </w:p>
        </w:tc>
        <w:tc>
          <w:tcPr>
            <w:tcW w:w="2877" w:type="dxa"/>
            <w:gridSpan w:val="2"/>
            <w:vAlign w:val="center"/>
          </w:tcPr>
          <w:p>
            <w:pPr>
              <w:snapToGrid w:val="0"/>
              <w:spacing w:line="240" w:lineRule="exact"/>
              <w:rPr>
                <w:rFonts w:ascii="仿宋" w:hAnsi="仿宋" w:eastAsia="仿宋" w:cs="宋体"/>
                <w:sz w:val="21"/>
                <w:szCs w:val="21"/>
              </w:rPr>
            </w:pPr>
            <w:r>
              <w:rPr>
                <w:rFonts w:hint="eastAsia" w:ascii="仿宋" w:hAnsi="仿宋" w:eastAsia="仿宋" w:cs="宋体"/>
                <w:sz w:val="21"/>
                <w:szCs w:val="21"/>
              </w:rPr>
              <w:t>特定资格条件</w:t>
            </w:r>
          </w:p>
        </w:tc>
        <w:tc>
          <w:tcPr>
            <w:tcW w:w="6054" w:type="dxa"/>
            <w:vAlign w:val="center"/>
          </w:tcPr>
          <w:p>
            <w:pPr>
              <w:spacing w:line="400" w:lineRule="exact"/>
              <w:jc w:val="center"/>
              <w:rPr>
                <w:rFonts w:ascii="仿宋" w:hAnsi="仿宋"/>
                <w:sz w:val="21"/>
                <w:szCs w:val="21"/>
              </w:rPr>
            </w:pPr>
            <w:r>
              <w:rPr>
                <w:rFonts w:hint="eastAsia" w:ascii="仿宋" w:hAnsi="仿宋" w:eastAsia="仿宋" w:cs="宋体"/>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3</w:t>
            </w:r>
          </w:p>
        </w:tc>
        <w:tc>
          <w:tcPr>
            <w:tcW w:w="2877" w:type="dxa"/>
            <w:gridSpan w:val="2"/>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投标保证金</w:t>
            </w:r>
          </w:p>
        </w:tc>
        <w:tc>
          <w:tcPr>
            <w:tcW w:w="6054"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足额缴纳投标保证金</w:t>
            </w:r>
          </w:p>
        </w:tc>
      </w:tr>
    </w:tbl>
    <w:p/>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注：</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1</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供应商按“三证合一”登记制度办理营业执照的，组织机构代码证和税务登记证（副本）以供应商所提供的营业执照（副本）复印件为准。</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eq \o\ac(○,</w:instrText>
      </w:r>
      <w:r>
        <w:rPr>
          <w:rFonts w:hint="eastAsia" w:ascii="仿宋" w:hAnsi="仿宋" w:eastAsia="仿宋" w:cs="仿宋"/>
          <w:kern w:val="0"/>
          <w:position w:val="3"/>
          <w:sz w:val="16"/>
          <w:szCs w:val="24"/>
        </w:rPr>
        <w:instrText xml:space="preserve">2</w:instrText>
      </w:r>
      <w:r>
        <w:rPr>
          <w:rFonts w:hint="eastAsia" w:ascii="仿宋" w:hAnsi="仿宋" w:eastAsia="仿宋" w:cs="仿宋"/>
          <w:kern w:val="0"/>
          <w:sz w:val="24"/>
          <w:szCs w:val="24"/>
        </w:rPr>
        <w:instrText xml:space="preserve">)</w:instrText>
      </w:r>
      <w:r>
        <w:rPr>
          <w:rFonts w:hint="eastAsia" w:ascii="仿宋" w:hAnsi="仿宋" w:eastAsia="仿宋" w:cs="仿宋"/>
          <w:kern w:val="0"/>
          <w:sz w:val="24"/>
          <w:szCs w:val="24"/>
        </w:rPr>
        <w:fldChar w:fldCharType="end"/>
      </w:r>
      <w:r>
        <w:rPr>
          <w:rFonts w:hint="eastAsia" w:ascii="仿宋" w:hAnsi="仿宋" w:eastAsia="仿宋" w:cs="仿宋"/>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2.符合性检查。依据竞争性磋商文件的规定，从响应文件的有效性、完整性和对竞争性磋商文件的响应程度进行审查，以确定是否对竞争性磋商文件的实质性要求作出响应。符合性检查资料表如下：</w:t>
      </w:r>
    </w:p>
    <w:tbl>
      <w:tblPr>
        <w:tblStyle w:val="15"/>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响应文件签署</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法定代表人身份证明及授权委托书有效，符合竞争性磋商文件规定的格式，签字或盖章齐全。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只能在采购预算范围内报价，</w:t>
            </w:r>
            <w:r>
              <w:rPr>
                <w:rFonts w:hint="eastAsia" w:ascii="仿宋" w:hAnsi="仿宋" w:eastAsia="仿宋" w:cs="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w:t>
            </w:r>
            <w:r>
              <w:rPr>
                <w:rFonts w:hint="eastAsia" w:ascii="仿宋" w:hAnsi="仿宋" w:eastAsia="仿宋" w:cs="仿宋"/>
                <w:sz w:val="21"/>
                <w:szCs w:val="21"/>
              </w:rPr>
              <w:t>（含电子文档）</w:t>
            </w:r>
            <w:r>
              <w:rPr>
                <w:rFonts w:hint="eastAsia" w:ascii="仿宋" w:hAnsi="仿宋" w:eastAsia="仿宋" w:cs="仿宋"/>
                <w:sz w:val="21"/>
                <w:szCs w:val="21"/>
                <w:lang w:val="zh-CN"/>
              </w:rPr>
              <w:t>符合</w:t>
            </w:r>
            <w:r>
              <w:rPr>
                <w:rFonts w:hint="eastAsia" w:ascii="仿宋" w:hAnsi="仿宋" w:eastAsia="仿宋" w:cs="仿宋"/>
                <w:sz w:val="21"/>
                <w:szCs w:val="21"/>
              </w:rPr>
              <w:t>竞争性磋商</w:t>
            </w:r>
            <w:r>
              <w:rPr>
                <w:rFonts w:hint="eastAsia" w:ascii="仿宋" w:hAnsi="仿宋" w:eastAsia="仿宋" w:cs="仿宋"/>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kern w:val="0"/>
                <w:sz w:val="21"/>
                <w:szCs w:val="21"/>
              </w:rPr>
              <w:t>竞争性磋商文件的响应程度审查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tcBorders>
              <w:top w:val="single" w:color="auto" w:sz="4" w:space="0"/>
              <w:left w:val="single" w:color="auto" w:sz="4" w:space="0"/>
              <w:bottom w:val="single" w:color="auto" w:sz="4" w:space="0"/>
              <w:right w:val="single" w:color="auto" w:sz="4" w:space="0"/>
            </w:tcBorders>
            <w:vAlign w:val="center"/>
          </w:tcPr>
          <w:p>
            <w:pPr>
              <w:pStyle w:val="8"/>
              <w:spacing w:line="240" w:lineRule="exact"/>
              <w:rPr>
                <w:rFonts w:ascii="仿宋" w:hAnsi="仿宋" w:eastAsia="仿宋" w:cs="仿宋"/>
                <w:kern w:val="0"/>
                <w:sz w:val="21"/>
                <w:szCs w:val="21"/>
              </w:rPr>
            </w:pPr>
            <w:r>
              <w:rPr>
                <w:rFonts w:hint="eastAsia" w:ascii="仿宋" w:hAnsi="仿宋" w:eastAsia="仿宋" w:cs="仿宋"/>
                <w:kern w:val="0"/>
                <w:sz w:val="21"/>
                <w:szCs w:val="21"/>
              </w:rPr>
              <w:t>对竞争性磋商文件第三、四篇</w:t>
            </w:r>
            <w:r>
              <w:rPr>
                <w:rFonts w:ascii="仿宋" w:hAnsi="仿宋" w:eastAsia="仿宋" w:cs="仿宋"/>
                <w:kern w:val="0"/>
                <w:sz w:val="21"/>
                <w:szCs w:val="21"/>
              </w:rPr>
              <w:t>（※）号标注的部分</w:t>
            </w:r>
            <w:r>
              <w:rPr>
                <w:rFonts w:hint="eastAsia" w:ascii="仿宋" w:hAnsi="仿宋" w:eastAsia="仿宋" w:cs="仿宋"/>
                <w:kern w:val="0"/>
                <w:sz w:val="21"/>
                <w:szCs w:val="21"/>
              </w:rPr>
              <w:t>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1"/>
                <w:szCs w:val="21"/>
                <w:lang w:val="zh-CN"/>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磋商有效期</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ascii="仿宋" w:hAnsi="仿宋" w:eastAsia="仿宋" w:cs="仿宋"/>
                <w:kern w:val="0"/>
                <w:sz w:val="21"/>
                <w:szCs w:val="21"/>
              </w:rPr>
              <w:t>投标有效期为投标截止时间起90天。</w:t>
            </w:r>
          </w:p>
        </w:tc>
      </w:tr>
    </w:tbl>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（五）在磋商过程中磋商的任何一方不得向他人透露与磋商有关的服务资料、价格或其他信息</w:t>
      </w:r>
      <w:r>
        <w:rPr>
          <w:rFonts w:hint="eastAsia" w:ascii="仿宋" w:hAnsi="仿宋" w:eastAsia="仿宋" w:cs="仿宋"/>
          <w:b/>
          <w:bCs/>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（七）供应商在磋商时作出的所有书面承诺须由法定代表人或其授权代表签字。</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仿宋" w:hAnsi="仿宋" w:eastAsia="仿宋" w:cs="仿宋"/>
          <w:b/>
          <w:bCs/>
          <w:sz w:val="24"/>
          <w:szCs w:val="24"/>
        </w:rPr>
        <w:t>竞争性磋商文件无实质性增加而最后报价超过供应商响应文件中的报价的，以供应商响应文件中的报价为准</w:t>
      </w:r>
      <w:r>
        <w:rPr>
          <w:rFonts w:hint="eastAsia" w:ascii="仿宋" w:hAnsi="仿宋" w:eastAsia="仿宋" w:cs="仿宋"/>
          <w:sz w:val="24"/>
          <w:szCs w:val="24"/>
        </w:rPr>
        <w:t>。已提交响应文件但未在规定时间内进行最后报价的供应商，视为放弃最后报价，以供应商响应文件中的报价为准。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（九）磋商小组采用综合评分法对提交最后报价的供应商的响应文件和最后报价（含有效书面承诺）进行综合评分。</w:t>
      </w:r>
      <w:r>
        <w:rPr>
          <w:rFonts w:hint="eastAsia" w:ascii="仿宋" w:hAnsi="仿宋" w:eastAsia="仿宋" w:cs="仿宋"/>
          <w:kern w:val="0"/>
          <w:sz w:val="24"/>
          <w:szCs w:val="24"/>
        </w:rPr>
        <w:t>综合评分法，是指响应文件满足竞争性磋商文件全部实质性要求且按照评审因素的量化指标评审得分最高的供应商为成交候选供应商的评审方法。供应商总得分为价格、商务、服务等评定因素分别按照相应权重值计算分项得分后相加，满分为100分</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pPr>
        <w:widowControl/>
        <w:jc w:val="left"/>
        <w:rPr>
          <w:rFonts w:ascii="仿宋" w:hAnsi="仿宋" w:eastAsia="仿宋" w:cs="仿宋"/>
          <w:b/>
          <w:bCs/>
          <w:sz w:val="24"/>
          <w:szCs w:val="24"/>
        </w:rPr>
      </w:pPr>
      <w:r>
        <w:rPr>
          <w:rFonts w:ascii="仿宋" w:hAnsi="仿宋" w:eastAsia="仿宋" w:cs="仿宋"/>
          <w:b/>
          <w:bCs/>
          <w:sz w:val="24"/>
          <w:szCs w:val="24"/>
        </w:rPr>
        <w:br w:type="page"/>
      </w:r>
    </w:p>
    <w:p>
      <w:pPr>
        <w:spacing w:line="440" w:lineRule="exact"/>
        <w:outlineLvl w:val="1"/>
        <w:rPr>
          <w:rFonts w:ascii="仿宋" w:hAnsi="仿宋" w:eastAsia="仿宋" w:cs="仿宋"/>
          <w:b/>
          <w:bCs/>
          <w:sz w:val="24"/>
          <w:szCs w:val="24"/>
        </w:rPr>
      </w:pPr>
      <w:bookmarkStart w:id="141" w:name="_Toc80882091"/>
      <w:r>
        <w:rPr>
          <w:rFonts w:hint="eastAsia" w:ascii="仿宋" w:hAnsi="仿宋" w:eastAsia="仿宋" w:cs="仿宋"/>
          <w:b/>
          <w:bCs/>
          <w:sz w:val="24"/>
          <w:szCs w:val="24"/>
        </w:rPr>
        <w:t>二、评审标准</w:t>
      </w:r>
      <w:bookmarkEnd w:id="141"/>
    </w:p>
    <w:p>
      <w:pPr>
        <w:pStyle w:val="13"/>
      </w:pPr>
    </w:p>
    <w:tbl>
      <w:tblPr>
        <w:tblStyle w:val="15"/>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58"/>
        <w:gridCol w:w="709"/>
        <w:gridCol w:w="4394"/>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序号</w:t>
            </w:r>
          </w:p>
        </w:tc>
        <w:tc>
          <w:tcPr>
            <w:tcW w:w="1258"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评分因素</w:t>
            </w:r>
          </w:p>
          <w:p>
            <w:pPr>
              <w:spacing w:line="240" w:lineRule="atLeast"/>
              <w:ind w:firstLine="28"/>
              <w:jc w:val="center"/>
              <w:rPr>
                <w:rFonts w:ascii="宋体" w:hAnsi="宋体" w:cs="宋体"/>
                <w:b/>
                <w:bCs/>
                <w:sz w:val="24"/>
                <w:szCs w:val="24"/>
              </w:rPr>
            </w:pPr>
            <w:r>
              <w:rPr>
                <w:rFonts w:hint="eastAsia" w:ascii="宋体" w:hAnsi="宋体" w:cs="宋体"/>
                <w:b/>
                <w:bCs/>
                <w:sz w:val="24"/>
                <w:szCs w:val="24"/>
              </w:rPr>
              <w:t>及权重</w:t>
            </w:r>
          </w:p>
        </w:tc>
        <w:tc>
          <w:tcPr>
            <w:tcW w:w="709"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分值</w:t>
            </w:r>
          </w:p>
        </w:tc>
        <w:tc>
          <w:tcPr>
            <w:tcW w:w="4394" w:type="dxa"/>
            <w:tcBorders>
              <w:top w:val="single" w:color="auto" w:sz="4" w:space="0"/>
              <w:left w:val="nil"/>
              <w:bottom w:val="single" w:color="auto" w:sz="4" w:space="0"/>
              <w:right w:val="single" w:color="auto" w:sz="4" w:space="0"/>
            </w:tcBorders>
            <w:vAlign w:val="center"/>
          </w:tcPr>
          <w:p>
            <w:pPr>
              <w:spacing w:line="240" w:lineRule="atLeast"/>
              <w:ind w:firstLine="28"/>
              <w:jc w:val="center"/>
              <w:rPr>
                <w:rFonts w:ascii="宋体" w:hAnsi="宋体" w:cs="宋体"/>
                <w:b/>
                <w:bCs/>
                <w:sz w:val="24"/>
                <w:szCs w:val="24"/>
              </w:rPr>
            </w:pPr>
            <w:r>
              <w:rPr>
                <w:rFonts w:hint="eastAsia" w:ascii="宋体" w:hAnsi="宋体" w:cs="宋体"/>
                <w:b/>
                <w:bCs/>
                <w:sz w:val="24"/>
                <w:szCs w:val="24"/>
              </w:rPr>
              <w:t>评分标准</w:t>
            </w:r>
          </w:p>
        </w:tc>
        <w:tc>
          <w:tcPr>
            <w:tcW w:w="2432" w:type="dxa"/>
            <w:tcBorders>
              <w:top w:val="single" w:color="auto" w:sz="4" w:space="0"/>
              <w:left w:val="nil"/>
              <w:bottom w:val="single" w:color="auto" w:sz="4" w:space="0"/>
              <w:right w:val="single" w:color="auto" w:sz="4" w:space="0"/>
            </w:tcBorders>
            <w:vAlign w:val="center"/>
          </w:tcPr>
          <w:p>
            <w:pPr>
              <w:pStyle w:val="21"/>
              <w:spacing w:before="0" w:after="0" w:line="240" w:lineRule="atLeast"/>
              <w:rPr>
                <w:rFonts w:ascii="宋体" w:hAnsi="宋体" w:eastAsia="宋体" w:cs="宋体"/>
              </w:rPr>
            </w:pPr>
            <w:r>
              <w:rPr>
                <w:rFonts w:hint="eastAsia" w:ascii="宋体" w:hAnsi="宋体" w:eastAsia="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1</w:t>
            </w:r>
          </w:p>
        </w:tc>
        <w:tc>
          <w:tcPr>
            <w:tcW w:w="125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投标报价</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（25%）</w:t>
            </w:r>
          </w:p>
        </w:tc>
        <w:tc>
          <w:tcPr>
            <w:tcW w:w="709"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25</w:t>
            </w:r>
          </w:p>
        </w:tc>
        <w:tc>
          <w:tcPr>
            <w:tcW w:w="4394" w:type="dxa"/>
            <w:tcBorders>
              <w:top w:val="single" w:color="auto" w:sz="4" w:space="0"/>
              <w:left w:val="nil"/>
              <w:bottom w:val="single" w:color="auto" w:sz="4" w:space="0"/>
              <w:right w:val="single" w:color="auto" w:sz="4" w:space="0"/>
            </w:tcBorders>
            <w:vAlign w:val="center"/>
          </w:tcPr>
          <w:p>
            <w:pPr>
              <w:spacing w:line="280" w:lineRule="exact"/>
              <w:rPr>
                <w:rFonts w:ascii="仿宋" w:hAnsi="仿宋" w:eastAsia="仿宋" w:cs="仿宋"/>
                <w:sz w:val="21"/>
                <w:szCs w:val="21"/>
                <w:lang w:val="zh-CN"/>
              </w:rPr>
            </w:pPr>
            <w:r>
              <w:rPr>
                <w:rFonts w:hint="eastAsia" w:ascii="仿宋" w:hAnsi="仿宋" w:eastAsia="仿宋" w:cs="仿宋"/>
                <w:sz w:val="21"/>
                <w:szCs w:val="21"/>
                <w:lang w:val="zh-CN"/>
              </w:rPr>
              <w:t>有效的投标报价中的最低总价为评标基准价，按照下列公式计算每个投标人的投标价格得分。投标报价得分＝（评标基准</w:t>
            </w:r>
            <w:r>
              <w:rPr>
                <w:rFonts w:hint="eastAsia" w:ascii="仿宋" w:hAnsi="仿宋" w:eastAsia="仿宋" w:cs="仿宋"/>
                <w:sz w:val="21"/>
                <w:szCs w:val="21"/>
              </w:rPr>
              <w:t>价</w:t>
            </w:r>
            <w:r>
              <w:rPr>
                <w:rFonts w:hint="eastAsia" w:ascii="仿宋" w:hAnsi="仿宋" w:eastAsia="仿宋" w:cs="仿宋"/>
                <w:sz w:val="21"/>
                <w:szCs w:val="21"/>
                <w:lang w:val="zh-CN"/>
              </w:rPr>
              <w:t>/投标总价）×价格权重×100。</w:t>
            </w:r>
          </w:p>
        </w:tc>
        <w:tc>
          <w:tcPr>
            <w:tcW w:w="2432" w:type="dxa"/>
            <w:tcBorders>
              <w:top w:val="single" w:color="auto" w:sz="4" w:space="0"/>
              <w:left w:val="nil"/>
              <w:bottom w:val="single" w:color="auto" w:sz="4" w:space="0"/>
              <w:right w:val="single" w:color="auto" w:sz="4" w:space="0"/>
            </w:tcBorders>
            <w:vAlign w:val="center"/>
          </w:tcPr>
          <w:p>
            <w:pPr>
              <w:spacing w:line="280" w:lineRule="exact"/>
              <w:ind w:left="-38"/>
              <w:rPr>
                <w:rFonts w:ascii="仿宋" w:hAnsi="仿宋" w:eastAsia="仿宋" w:cs="仿宋"/>
                <w:sz w:val="21"/>
                <w:szCs w:val="21"/>
              </w:rPr>
            </w:pPr>
            <w:r>
              <w:rPr>
                <w:rFonts w:hint="eastAsia" w:ascii="仿宋" w:hAnsi="仿宋" w:eastAsia="仿宋" w:cs="仿宋"/>
                <w:sz w:val="21"/>
                <w:szCs w:val="21"/>
                <w:lang w:val="zh-CN"/>
              </w:rPr>
              <w:t>对小型和微型企业产品的价格给予6%-10%的扣除，用扣除后的价格参与评审</w:t>
            </w:r>
            <w:r>
              <w:rPr>
                <w:rFonts w:hint="eastAsia" w:ascii="仿宋" w:hAnsi="仿宋" w:eastAsia="仿宋" w:cs="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35" w:type="dxa"/>
            <w:tcBorders>
              <w:top w:val="single" w:color="auto" w:sz="4" w:space="0"/>
              <w:left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2</w:t>
            </w:r>
          </w:p>
        </w:tc>
        <w:tc>
          <w:tcPr>
            <w:tcW w:w="1258" w:type="dxa"/>
            <w:tcBorders>
              <w:top w:val="single" w:color="auto" w:sz="4" w:space="0"/>
              <w:left w:val="nil"/>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技术部分</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（4</w:t>
            </w:r>
            <w:r>
              <w:rPr>
                <w:rFonts w:ascii="仿宋" w:hAnsi="仿宋" w:eastAsia="仿宋" w:cs="仿宋"/>
                <w:sz w:val="21"/>
                <w:szCs w:val="21"/>
              </w:rPr>
              <w:t>0</w:t>
            </w:r>
            <w:r>
              <w:rPr>
                <w:rFonts w:hint="eastAsia" w:ascii="仿宋" w:hAnsi="仿宋" w:eastAsia="仿宋" w:cs="仿宋"/>
                <w:sz w:val="21"/>
                <w:szCs w:val="21"/>
                <w:lang w:val="zh-CN"/>
              </w:rPr>
              <w:t>%）</w:t>
            </w:r>
          </w:p>
        </w:tc>
        <w:tc>
          <w:tcPr>
            <w:tcW w:w="709" w:type="dxa"/>
            <w:tcBorders>
              <w:top w:val="single" w:color="auto" w:sz="4" w:space="0"/>
              <w:left w:val="nil"/>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4</w:t>
            </w:r>
            <w:r>
              <w:rPr>
                <w:rFonts w:ascii="仿宋" w:hAnsi="仿宋" w:eastAsia="仿宋" w:cs="仿宋"/>
                <w:sz w:val="21"/>
                <w:szCs w:val="21"/>
              </w:rPr>
              <w:t>0</w:t>
            </w:r>
          </w:p>
        </w:tc>
        <w:tc>
          <w:tcPr>
            <w:tcW w:w="4394" w:type="dxa"/>
            <w:tcBorders>
              <w:top w:val="single" w:color="auto" w:sz="4" w:space="0"/>
              <w:left w:val="nil"/>
              <w:right w:val="single" w:color="auto" w:sz="4" w:space="0"/>
            </w:tcBorders>
            <w:vAlign w:val="center"/>
          </w:tcPr>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一、技术参数部分（</w:t>
            </w:r>
            <w:r>
              <w:rPr>
                <w:rFonts w:ascii="仿宋" w:hAnsi="仿宋" w:eastAsia="仿宋" w:cs="仿宋"/>
                <w:b/>
                <w:bCs/>
                <w:sz w:val="21"/>
                <w:szCs w:val="21"/>
              </w:rPr>
              <w:t>13</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1.起评分：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有效投标人的起评分为</w:t>
            </w:r>
            <w:r>
              <w:rPr>
                <w:rFonts w:ascii="仿宋" w:hAnsi="仿宋" w:eastAsia="仿宋" w:cs="仿宋"/>
                <w:sz w:val="21"/>
                <w:szCs w:val="21"/>
              </w:rPr>
              <w:t>7</w:t>
            </w:r>
            <w:r>
              <w:rPr>
                <w:rFonts w:hint="eastAsia" w:ascii="仿宋" w:hAnsi="仿宋" w:eastAsia="仿宋" w:cs="仿宋"/>
                <w:sz w:val="21"/>
                <w:szCs w:val="21"/>
              </w:rPr>
              <w:t>分。无偏离的得</w:t>
            </w:r>
            <w:r>
              <w:rPr>
                <w:rFonts w:ascii="仿宋" w:hAnsi="仿宋" w:eastAsia="仿宋" w:cs="仿宋"/>
                <w:sz w:val="21"/>
                <w:szCs w:val="21"/>
              </w:rPr>
              <w:t>7</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2.加分条款：</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本招标文件第二篇第二点中带（※及</w:t>
            </w:r>
            <w:r>
              <w:rPr>
                <w:rFonts w:ascii="仿宋" w:hAnsi="仿宋" w:eastAsia="仿宋" w:cs="仿宋"/>
                <w:sz w:val="21"/>
                <w:szCs w:val="21"/>
              </w:rPr>
              <w:t>*</w:t>
            </w:r>
            <w:r>
              <w:rPr>
                <w:rFonts w:hint="eastAsia" w:ascii="仿宋" w:hAnsi="仿宋" w:eastAsia="仿宋" w:cs="仿宋"/>
                <w:sz w:val="21"/>
                <w:szCs w:val="21"/>
              </w:rPr>
              <w:t>）号标注的部分高于招标文件技术要求的视为正偏离，有一条加1分，最高加</w:t>
            </w:r>
            <w:r>
              <w:rPr>
                <w:rFonts w:ascii="仿宋" w:hAnsi="仿宋" w:eastAsia="仿宋" w:cs="仿宋"/>
                <w:sz w:val="21"/>
                <w:szCs w:val="21"/>
              </w:rPr>
              <w:t>4</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所投产品提供第三方检测报告且满足相关技术参数要求的，加2分。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3.负偏离</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本招标文件第二篇中带（*）号标注的部分有不满足招标文件要求或负偏离的，每有一点扣5分，扣完为止。</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二、产品技术性能（主要为会标屏）（2分）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所投LED显示屏系统具备可实现模组级限流保护，能有效避免大电流导致的发热、起火隐患的得2分，没有则不得分。(提供行政主管部门颁发的证明文件及证明文件官网查询截图彩色打印件加盖制造商鲜(公)章。）。</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三、设计方案（1</w:t>
            </w:r>
            <w:r>
              <w:rPr>
                <w:rFonts w:ascii="仿宋" w:hAnsi="仿宋" w:eastAsia="仿宋" w:cs="仿宋"/>
                <w:b/>
                <w:bCs/>
                <w:sz w:val="21"/>
                <w:szCs w:val="21"/>
              </w:rPr>
              <w:t>0</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投标人根据本项设计要求制定方案。包括但不仅限于如下内容：整体设想、材质、大小、颜色、工艺等。</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提供项目整体设计效果图，尺寸图，材质工艺说明等3份，施工安全责任承诺书及中标后提供由钢结构设计院审核合格的钢结构设计蓝图（盖出图鲜章）并严格按照蓝图施工承诺书</w:t>
            </w:r>
            <w:r>
              <w:rPr>
                <w:rFonts w:ascii="仿宋" w:hAnsi="仿宋" w:eastAsia="仿宋" w:cs="仿宋"/>
                <w:sz w:val="21"/>
                <w:szCs w:val="21"/>
              </w:rPr>
              <w:t>3</w:t>
            </w:r>
            <w:r>
              <w:rPr>
                <w:rFonts w:hint="eastAsia" w:ascii="仿宋" w:hAnsi="仿宋" w:eastAsia="仿宋" w:cs="仿宋"/>
                <w:sz w:val="21"/>
                <w:szCs w:val="21"/>
              </w:rPr>
              <w:t>份；设计方案对采购人要求把握完整、准确、科学、可行性、稳固性强的视为优，得</w:t>
            </w:r>
            <w:r>
              <w:rPr>
                <w:rFonts w:ascii="仿宋" w:hAnsi="仿宋" w:eastAsia="仿宋" w:cs="仿宋"/>
                <w:sz w:val="21"/>
                <w:szCs w:val="21"/>
              </w:rPr>
              <w:t>10</w:t>
            </w:r>
            <w:r>
              <w:rPr>
                <w:rFonts w:hint="eastAsia" w:ascii="仿宋" w:hAnsi="仿宋" w:eastAsia="仿宋" w:cs="仿宋"/>
                <w:sz w:val="21"/>
                <w:szCs w:val="21"/>
              </w:rPr>
              <w:t>分；设计方案对采购人要求把握较完整、较准确、较合理、较可行的视为良，得</w:t>
            </w:r>
            <w:r>
              <w:rPr>
                <w:rFonts w:ascii="仿宋" w:hAnsi="仿宋" w:eastAsia="仿宋" w:cs="仿宋"/>
                <w:sz w:val="21"/>
                <w:szCs w:val="21"/>
              </w:rPr>
              <w:t>5</w:t>
            </w:r>
            <w:r>
              <w:rPr>
                <w:rFonts w:hint="eastAsia" w:ascii="仿宋" w:hAnsi="仿宋" w:eastAsia="仿宋" w:cs="仿宋"/>
                <w:sz w:val="21"/>
                <w:szCs w:val="21"/>
              </w:rPr>
              <w:t>分，设计方案对采购人要求把握一般完整视为一般，得</w:t>
            </w:r>
            <w:r>
              <w:rPr>
                <w:rFonts w:ascii="仿宋" w:hAnsi="仿宋" w:eastAsia="仿宋" w:cs="仿宋"/>
                <w:sz w:val="21"/>
                <w:szCs w:val="21"/>
              </w:rPr>
              <w:t>1</w:t>
            </w:r>
            <w:r>
              <w:rPr>
                <w:rFonts w:hint="eastAsia" w:ascii="仿宋" w:hAnsi="仿宋" w:eastAsia="仿宋" w:cs="仿宋"/>
                <w:sz w:val="21"/>
                <w:szCs w:val="21"/>
              </w:rPr>
              <w:t>分，其他得0分。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四、施工方案（</w:t>
            </w:r>
            <w:r>
              <w:rPr>
                <w:rFonts w:ascii="仿宋" w:hAnsi="仿宋" w:eastAsia="仿宋" w:cs="仿宋"/>
                <w:b/>
                <w:bCs/>
                <w:sz w:val="21"/>
                <w:szCs w:val="21"/>
              </w:rPr>
              <w:t>15</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结合本项项目实际情况和施工现场环境，提供施工组织方案，方案内容包含不限于：施工组织安排、设备材料进场计划及堆放、人员调配、施工进度保障、质量保障、施工安全承诺等。 优得1</w:t>
            </w:r>
            <w:r>
              <w:rPr>
                <w:rFonts w:ascii="仿宋" w:hAnsi="仿宋" w:eastAsia="仿宋" w:cs="仿宋"/>
                <w:sz w:val="21"/>
                <w:szCs w:val="21"/>
              </w:rPr>
              <w:t>5</w:t>
            </w:r>
            <w:r>
              <w:rPr>
                <w:rFonts w:hint="eastAsia" w:ascii="仿宋" w:hAnsi="仿宋" w:eastAsia="仿宋" w:cs="仿宋"/>
                <w:sz w:val="21"/>
                <w:szCs w:val="21"/>
              </w:rPr>
              <w:t>分，良得</w:t>
            </w:r>
            <w:r>
              <w:rPr>
                <w:rFonts w:ascii="仿宋" w:hAnsi="仿宋" w:eastAsia="仿宋" w:cs="仿宋"/>
                <w:sz w:val="21"/>
                <w:szCs w:val="21"/>
              </w:rPr>
              <w:t>10</w:t>
            </w:r>
            <w:r>
              <w:rPr>
                <w:rFonts w:hint="eastAsia" w:ascii="仿宋" w:hAnsi="仿宋" w:eastAsia="仿宋" w:cs="仿宋"/>
                <w:sz w:val="21"/>
                <w:szCs w:val="21"/>
              </w:rPr>
              <w:t>分，一般的</w:t>
            </w:r>
            <w:r>
              <w:rPr>
                <w:rFonts w:ascii="仿宋" w:hAnsi="仿宋" w:eastAsia="仿宋" w:cs="仿宋"/>
                <w:sz w:val="21"/>
                <w:szCs w:val="21"/>
              </w:rPr>
              <w:t>5</w:t>
            </w:r>
            <w:r>
              <w:rPr>
                <w:rFonts w:hint="eastAsia" w:ascii="仿宋" w:hAnsi="仿宋" w:eastAsia="仿宋" w:cs="仿宋"/>
                <w:sz w:val="21"/>
                <w:szCs w:val="21"/>
              </w:rPr>
              <w:t>分，其他得0分。</w:t>
            </w:r>
          </w:p>
        </w:tc>
        <w:tc>
          <w:tcPr>
            <w:tcW w:w="2432" w:type="dxa"/>
            <w:tcBorders>
              <w:top w:val="single" w:color="auto" w:sz="4" w:space="0"/>
              <w:left w:val="nil"/>
              <w:right w:val="single" w:color="auto" w:sz="4" w:space="0"/>
            </w:tcBorders>
            <w:vAlign w:val="center"/>
          </w:tcPr>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按第二篇中的要求为准，以有效投标人投标响应文件为评审依据</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以提供材料为依据</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以投标人项目设计方案为评审依据，设计方案包括方案设计平面尺寸图、效果图、钢结构设计结构尺寸图，设计方案彩色纸质版。项目设计方案格式自定，加盖投标人公章后有效。</w:t>
            </w:r>
          </w:p>
          <w:p>
            <w:pPr>
              <w:numPr>
                <w:ilvl w:val="0"/>
                <w:numId w:val="3"/>
              </w:num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优标准：方案完整、符合本项目实际情况，可操作性强；</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良标准：方案较为完整、符合本项目实际情况，可操作性较强；</w:t>
            </w:r>
          </w:p>
          <w:p>
            <w:pPr>
              <w:spacing w:line="280" w:lineRule="exact"/>
              <w:ind w:firstLine="420" w:firstLineChars="200"/>
              <w:rPr>
                <w:rFonts w:ascii="仿宋" w:hAnsi="仿宋" w:eastAsia="仿宋" w:cs="仿宋"/>
                <w:sz w:val="21"/>
                <w:szCs w:val="21"/>
                <w:lang w:val="zh-CN"/>
              </w:rPr>
            </w:pPr>
            <w:r>
              <w:rPr>
                <w:rFonts w:hint="eastAsia" w:ascii="仿宋" w:hAnsi="仿宋" w:eastAsia="仿宋" w:cs="仿宋"/>
                <w:sz w:val="21"/>
                <w:szCs w:val="21"/>
              </w:rPr>
              <w:t>一般标准：方案内容较为完整、可操作性不强；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35" w:type="dxa"/>
            <w:tcBorders>
              <w:top w:val="nil"/>
              <w:left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w:t>
            </w:r>
          </w:p>
          <w:p>
            <w:pPr>
              <w:pStyle w:val="13"/>
              <w:rPr>
                <w:rFonts w:ascii="仿宋" w:hAnsi="仿宋" w:eastAsia="仿宋" w:cs="仿宋"/>
                <w:sz w:val="21"/>
                <w:szCs w:val="21"/>
                <w:lang w:val="zh-CN"/>
              </w:rPr>
            </w:pPr>
          </w:p>
        </w:tc>
        <w:tc>
          <w:tcPr>
            <w:tcW w:w="1258"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商务部分</w:t>
            </w:r>
          </w:p>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w:t>
            </w:r>
            <w:r>
              <w:rPr>
                <w:rFonts w:ascii="仿宋" w:hAnsi="仿宋" w:eastAsia="仿宋" w:cs="仿宋"/>
                <w:sz w:val="21"/>
                <w:szCs w:val="21"/>
              </w:rPr>
              <w:t>5</w:t>
            </w:r>
            <w:r>
              <w:rPr>
                <w:rFonts w:hint="eastAsia" w:ascii="仿宋" w:hAnsi="仿宋" w:eastAsia="仿宋" w:cs="仿宋"/>
                <w:sz w:val="21"/>
                <w:szCs w:val="21"/>
                <w:lang w:val="zh-CN"/>
              </w:rPr>
              <w:t>%）</w:t>
            </w:r>
          </w:p>
          <w:p>
            <w:pPr>
              <w:spacing w:line="280" w:lineRule="exact"/>
              <w:jc w:val="center"/>
              <w:rPr>
                <w:rFonts w:ascii="仿宋" w:hAnsi="仿宋" w:eastAsia="仿宋" w:cs="仿宋"/>
                <w:sz w:val="21"/>
                <w:szCs w:val="21"/>
                <w:lang w:val="zh-CN"/>
              </w:rPr>
            </w:pPr>
          </w:p>
        </w:tc>
        <w:tc>
          <w:tcPr>
            <w:tcW w:w="709" w:type="dxa"/>
            <w:tcBorders>
              <w:top w:val="single" w:color="auto" w:sz="4" w:space="0"/>
              <w:left w:val="nil"/>
              <w:bottom w:val="single" w:color="auto" w:sz="4" w:space="0"/>
              <w:right w:val="single" w:color="auto" w:sz="4" w:space="0"/>
            </w:tcBorders>
            <w:vAlign w:val="center"/>
          </w:tcPr>
          <w:p>
            <w:pPr>
              <w:spacing w:line="280" w:lineRule="exact"/>
              <w:jc w:val="center"/>
              <w:rPr>
                <w:rFonts w:ascii="仿宋" w:hAnsi="仿宋" w:eastAsia="仿宋" w:cs="仿宋"/>
                <w:sz w:val="21"/>
                <w:szCs w:val="21"/>
                <w:lang w:val="zh-CN"/>
              </w:rPr>
            </w:pPr>
            <w:r>
              <w:rPr>
                <w:rFonts w:hint="eastAsia" w:ascii="仿宋" w:hAnsi="仿宋" w:eastAsia="仿宋" w:cs="仿宋"/>
                <w:sz w:val="21"/>
                <w:szCs w:val="21"/>
                <w:lang w:val="zh-CN"/>
              </w:rPr>
              <w:t>3</w:t>
            </w:r>
            <w:r>
              <w:rPr>
                <w:rFonts w:ascii="仿宋" w:hAnsi="仿宋" w:eastAsia="仿宋" w:cs="仿宋"/>
                <w:sz w:val="21"/>
                <w:szCs w:val="21"/>
              </w:rPr>
              <w:t>5</w:t>
            </w:r>
          </w:p>
        </w:tc>
        <w:tc>
          <w:tcPr>
            <w:tcW w:w="4394" w:type="dxa"/>
            <w:tcBorders>
              <w:top w:val="single" w:color="auto" w:sz="4" w:space="0"/>
              <w:left w:val="nil"/>
              <w:bottom w:val="single" w:color="auto" w:sz="4" w:space="0"/>
              <w:right w:val="single" w:color="auto" w:sz="4" w:space="0"/>
            </w:tcBorders>
            <w:vAlign w:val="center"/>
          </w:tcPr>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一、质保及售后（1</w:t>
            </w:r>
            <w:r>
              <w:rPr>
                <w:rFonts w:ascii="仿宋" w:hAnsi="仿宋" w:eastAsia="仿宋" w:cs="仿宋"/>
                <w:b/>
                <w:bCs/>
                <w:sz w:val="21"/>
                <w:szCs w:val="21"/>
              </w:rPr>
              <w:t>5</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1.免费质保期：产品免费质保期在满足招标文件要求的前提下，每增加1年得1分，最多可得</w:t>
            </w:r>
            <w:r>
              <w:rPr>
                <w:rFonts w:ascii="仿宋" w:hAnsi="仿宋" w:eastAsia="仿宋" w:cs="仿宋"/>
                <w:sz w:val="21"/>
                <w:szCs w:val="21"/>
              </w:rPr>
              <w:t>5</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2.售后服务机构设置：投标人在重庆本地有售后服务机构的得2分；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3.备品备件及易损件：在重庆本地有备件库，根据常用备品备件及易损件配备的齐全程度进行综合0～</w:t>
            </w:r>
            <w:r>
              <w:rPr>
                <w:rFonts w:ascii="仿宋" w:hAnsi="仿宋" w:eastAsia="仿宋" w:cs="仿宋"/>
                <w:sz w:val="21"/>
                <w:szCs w:val="21"/>
              </w:rPr>
              <w:t>3</w:t>
            </w:r>
            <w:r>
              <w:rPr>
                <w:rFonts w:hint="eastAsia" w:ascii="仿宋" w:hAnsi="仿宋" w:eastAsia="仿宋" w:cs="仿宋"/>
                <w:sz w:val="21"/>
                <w:szCs w:val="21"/>
              </w:rPr>
              <w:t>分评分。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4</w:t>
            </w:r>
            <w:r>
              <w:rPr>
                <w:rFonts w:ascii="仿宋" w:hAnsi="仿宋" w:eastAsia="仿宋" w:cs="仿宋"/>
                <w:sz w:val="21"/>
                <w:szCs w:val="21"/>
              </w:rPr>
              <w:t>.</w:t>
            </w:r>
            <w:r>
              <w:rPr>
                <w:rFonts w:hint="eastAsia" w:ascii="仿宋" w:hAnsi="仿宋" w:eastAsia="仿宋" w:cs="仿宋"/>
                <w:sz w:val="21"/>
                <w:szCs w:val="21"/>
              </w:rPr>
              <w:t xml:space="preserve"> 投标人提供本项目的售后服务方案，方案内容包含不限于：售后人员、售后服务点介绍、易损备品备件、售后服务响应时间；评委横向对比后，根据优劣程度打分，优得</w:t>
            </w:r>
            <w:r>
              <w:rPr>
                <w:rFonts w:ascii="仿宋" w:hAnsi="仿宋" w:eastAsia="仿宋" w:cs="仿宋"/>
                <w:sz w:val="21"/>
                <w:szCs w:val="21"/>
              </w:rPr>
              <w:t>5</w:t>
            </w:r>
            <w:r>
              <w:rPr>
                <w:rFonts w:hint="eastAsia" w:ascii="仿宋" w:hAnsi="仿宋" w:eastAsia="仿宋" w:cs="仿宋"/>
                <w:sz w:val="21"/>
                <w:szCs w:val="21"/>
              </w:rPr>
              <w:t>分，良的2分，一般的1分，其他得0分。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二、投标人业绩及经验（</w:t>
            </w:r>
            <w:r>
              <w:rPr>
                <w:rFonts w:ascii="仿宋" w:hAnsi="仿宋" w:eastAsia="仿宋" w:cs="仿宋"/>
                <w:b/>
                <w:bCs/>
                <w:sz w:val="21"/>
                <w:szCs w:val="21"/>
              </w:rPr>
              <w:t>8</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b/>
                <w:bCs/>
                <w:sz w:val="21"/>
                <w:szCs w:val="21"/>
              </w:rPr>
            </w:pPr>
            <w:r>
              <w:rPr>
                <w:rFonts w:hint="eastAsia" w:ascii="仿宋" w:hAnsi="仿宋" w:eastAsia="仿宋" w:cs="仿宋"/>
                <w:sz w:val="21"/>
                <w:szCs w:val="21"/>
              </w:rPr>
              <w:t>投标人提供近三年承担过的本项目类似业绩合同(合同金额不低于</w:t>
            </w:r>
            <w:r>
              <w:rPr>
                <w:rFonts w:ascii="仿宋" w:hAnsi="仿宋" w:eastAsia="仿宋" w:cs="仿宋"/>
                <w:sz w:val="21"/>
                <w:szCs w:val="21"/>
              </w:rPr>
              <w:t>2</w:t>
            </w:r>
            <w:r>
              <w:rPr>
                <w:rFonts w:hint="eastAsia" w:ascii="仿宋" w:hAnsi="仿宋" w:eastAsia="仿宋" w:cs="仿宋"/>
                <w:sz w:val="21"/>
                <w:szCs w:val="21"/>
              </w:rPr>
              <w:t>0万，钢结构字牌类或led显示屏合同均可)，每提供1个得2分，最多得</w:t>
            </w:r>
            <w:r>
              <w:rPr>
                <w:rFonts w:ascii="仿宋" w:hAnsi="仿宋" w:eastAsia="仿宋" w:cs="仿宋"/>
                <w:sz w:val="21"/>
                <w:szCs w:val="21"/>
              </w:rPr>
              <w:t>8</w:t>
            </w:r>
            <w:r>
              <w:rPr>
                <w:rFonts w:hint="eastAsia" w:ascii="仿宋" w:hAnsi="仿宋" w:eastAsia="仿宋" w:cs="仿宋"/>
                <w:sz w:val="21"/>
                <w:szCs w:val="21"/>
              </w:rPr>
              <w:t>分，未提供不得分。</w:t>
            </w:r>
            <w:r>
              <w:rPr>
                <w:rFonts w:hint="eastAsia" w:ascii="仿宋" w:hAnsi="仿宋" w:eastAsia="仿宋" w:cs="仿宋"/>
                <w:b/>
                <w:bCs/>
                <w:sz w:val="21"/>
                <w:szCs w:val="21"/>
              </w:rPr>
              <w:t>合同内容与金额需保持清晰，遮挡合同无效，不计分。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三、投标人综合实力（</w:t>
            </w:r>
            <w:r>
              <w:rPr>
                <w:rFonts w:ascii="仿宋" w:hAnsi="仿宋" w:eastAsia="仿宋" w:cs="仿宋"/>
                <w:b/>
                <w:bCs/>
                <w:sz w:val="21"/>
                <w:szCs w:val="21"/>
              </w:rPr>
              <w:t>5</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ascii="仿宋" w:hAnsi="仿宋" w:eastAsia="仿宋" w:cs="仿宋"/>
                <w:sz w:val="21"/>
                <w:szCs w:val="21"/>
              </w:rPr>
              <w:t>1</w:t>
            </w:r>
            <w:r>
              <w:rPr>
                <w:rFonts w:hint="eastAsia" w:ascii="仿宋" w:hAnsi="仿宋" w:eastAsia="仿宋" w:cs="仿宋"/>
                <w:sz w:val="21"/>
                <w:szCs w:val="21"/>
              </w:rPr>
              <w:t>.投标人具有安全生产许可证的得</w:t>
            </w:r>
            <w:r>
              <w:rPr>
                <w:rFonts w:ascii="仿宋" w:hAnsi="仿宋" w:eastAsia="仿宋" w:cs="仿宋"/>
                <w:sz w:val="21"/>
                <w:szCs w:val="21"/>
              </w:rPr>
              <w:t>1</w:t>
            </w:r>
            <w:r>
              <w:rPr>
                <w:rFonts w:hint="eastAsia" w:ascii="仿宋" w:hAnsi="仿宋" w:eastAsia="仿宋" w:cs="仿宋"/>
                <w:sz w:val="21"/>
                <w:szCs w:val="21"/>
              </w:rPr>
              <w:t>分，未提供不得分。（提供在有效期内的证书复印件加盖投标人鲜（公）章）。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2．投标人具有钢结构施工、设计、</w:t>
            </w:r>
            <w:r>
              <w:rPr>
                <w:rFonts w:ascii="仿宋" w:hAnsi="仿宋" w:eastAsia="仿宋" w:cs="仿宋"/>
                <w:sz w:val="21"/>
                <w:szCs w:val="21"/>
              </w:rPr>
              <w:t>钢结构工程承包叁级及以上</w:t>
            </w:r>
            <w:r>
              <w:rPr>
                <w:rFonts w:hint="eastAsia" w:ascii="仿宋" w:hAnsi="仿宋" w:eastAsia="仿宋" w:cs="仿宋"/>
                <w:sz w:val="21"/>
                <w:szCs w:val="21"/>
              </w:rPr>
              <w:t>等资质的每有一项得</w:t>
            </w:r>
            <w:r>
              <w:rPr>
                <w:rFonts w:ascii="仿宋" w:hAnsi="仿宋" w:eastAsia="仿宋" w:cs="仿宋"/>
                <w:sz w:val="21"/>
                <w:szCs w:val="21"/>
              </w:rPr>
              <w:t>1</w:t>
            </w:r>
            <w:r>
              <w:rPr>
                <w:rFonts w:hint="eastAsia" w:ascii="仿宋" w:hAnsi="仿宋" w:eastAsia="仿宋" w:cs="仿宋"/>
                <w:sz w:val="21"/>
                <w:szCs w:val="21"/>
              </w:rPr>
              <w:t>分，最高得</w:t>
            </w:r>
            <w:r>
              <w:rPr>
                <w:rFonts w:ascii="仿宋" w:hAnsi="仿宋" w:eastAsia="仿宋" w:cs="仿宋"/>
                <w:sz w:val="21"/>
                <w:szCs w:val="21"/>
              </w:rPr>
              <w:t>2</w:t>
            </w:r>
            <w:r>
              <w:rPr>
                <w:rFonts w:hint="eastAsia" w:ascii="仿宋" w:hAnsi="仿宋" w:eastAsia="仿宋" w:cs="仿宋"/>
                <w:sz w:val="21"/>
                <w:szCs w:val="21"/>
              </w:rPr>
              <w:t>分，未提供不得分。（提供在有效期内的证书或营业执照复印件加盖投标人鲜（公）章）。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3</w:t>
            </w:r>
            <w:r>
              <w:rPr>
                <w:rFonts w:ascii="仿宋" w:hAnsi="仿宋" w:eastAsia="仿宋" w:cs="仿宋"/>
                <w:sz w:val="21"/>
                <w:szCs w:val="21"/>
              </w:rPr>
              <w:t>.</w:t>
            </w:r>
            <w:r>
              <w:rPr>
                <w:rFonts w:hint="eastAsia" w:ascii="仿宋" w:hAnsi="仿宋" w:eastAsia="仿宋" w:cs="仿宋"/>
                <w:sz w:val="21"/>
                <w:szCs w:val="21"/>
              </w:rPr>
              <w:t>提供为本项目投入的人员名单（中标后不得更换名单中人员）及专业证书。其中专业人员占比超过所投入人员5</w:t>
            </w:r>
            <w:r>
              <w:rPr>
                <w:rFonts w:ascii="仿宋" w:hAnsi="仿宋" w:eastAsia="仿宋" w:cs="仿宋"/>
                <w:sz w:val="21"/>
                <w:szCs w:val="21"/>
              </w:rPr>
              <w:t>0</w:t>
            </w:r>
            <w:r>
              <w:rPr>
                <w:rFonts w:hint="eastAsia" w:ascii="仿宋" w:hAnsi="仿宋" w:eastAsia="仿宋" w:cs="仿宋"/>
                <w:sz w:val="21"/>
                <w:szCs w:val="21"/>
              </w:rPr>
              <w:t>%的，得</w:t>
            </w:r>
            <w:r>
              <w:rPr>
                <w:rFonts w:ascii="仿宋" w:hAnsi="仿宋" w:eastAsia="仿宋" w:cs="仿宋"/>
                <w:sz w:val="21"/>
                <w:szCs w:val="21"/>
              </w:rPr>
              <w:t>2</w:t>
            </w:r>
            <w:r>
              <w:rPr>
                <w:rFonts w:hint="eastAsia" w:ascii="仿宋" w:hAnsi="仿宋" w:eastAsia="仿宋" w:cs="仿宋"/>
                <w:sz w:val="21"/>
                <w:szCs w:val="21"/>
              </w:rPr>
              <w:t>分。（提供身份证、职称证、技术资格证、由社保部门出具的202</w:t>
            </w:r>
            <w:r>
              <w:rPr>
                <w:rFonts w:ascii="仿宋" w:hAnsi="仿宋" w:eastAsia="仿宋" w:cs="仿宋"/>
                <w:sz w:val="21"/>
                <w:szCs w:val="21"/>
              </w:rPr>
              <w:t>1</w:t>
            </w:r>
            <w:r>
              <w:rPr>
                <w:rFonts w:hint="eastAsia" w:ascii="仿宋" w:hAnsi="仿宋" w:eastAsia="仿宋" w:cs="仿宋"/>
                <w:sz w:val="21"/>
                <w:szCs w:val="21"/>
              </w:rPr>
              <w:t>年1月至202</w:t>
            </w:r>
            <w:r>
              <w:rPr>
                <w:rFonts w:ascii="仿宋" w:hAnsi="仿宋" w:eastAsia="仿宋" w:cs="仿宋"/>
                <w:sz w:val="21"/>
                <w:szCs w:val="21"/>
              </w:rPr>
              <w:t>2</w:t>
            </w:r>
            <w:r>
              <w:rPr>
                <w:rFonts w:hint="eastAsia" w:ascii="仿宋" w:hAnsi="仿宋" w:eastAsia="仿宋" w:cs="仿宋"/>
                <w:sz w:val="21"/>
                <w:szCs w:val="21"/>
              </w:rPr>
              <w:t>年</w:t>
            </w:r>
            <w:r>
              <w:rPr>
                <w:rFonts w:ascii="仿宋" w:hAnsi="仿宋" w:eastAsia="仿宋" w:cs="仿宋"/>
                <w:sz w:val="21"/>
                <w:szCs w:val="21"/>
              </w:rPr>
              <w:t>7</w:t>
            </w:r>
            <w:r>
              <w:rPr>
                <w:rFonts w:hint="eastAsia" w:ascii="仿宋" w:hAnsi="仿宋" w:eastAsia="仿宋" w:cs="仿宋"/>
                <w:sz w:val="21"/>
                <w:szCs w:val="21"/>
              </w:rPr>
              <w:t>月投标人为其缴纳的社保证明复印件加盖投标人鲜（公）章）</w:t>
            </w:r>
            <w:r>
              <w:rPr>
                <w:rFonts w:hint="eastAsia" w:ascii="仿宋" w:hAnsi="仿宋" w:eastAsia="仿宋" w:cs="仿宋"/>
                <w:b/>
                <w:bCs/>
                <w:sz w:val="21"/>
                <w:szCs w:val="21"/>
              </w:rPr>
              <w:t>（注：现场特殊工种作业人员必须提供相关操作证复印件，未提供的该部分不得分）</w:t>
            </w:r>
          </w:p>
          <w:p>
            <w:pPr>
              <w:spacing w:line="280" w:lineRule="exact"/>
              <w:ind w:firstLine="422" w:firstLineChars="200"/>
              <w:rPr>
                <w:rFonts w:ascii="仿宋" w:hAnsi="仿宋" w:eastAsia="仿宋" w:cs="仿宋"/>
                <w:b/>
                <w:bCs/>
                <w:sz w:val="21"/>
                <w:szCs w:val="21"/>
              </w:rPr>
            </w:pPr>
            <w:r>
              <w:rPr>
                <w:rFonts w:hint="eastAsia" w:ascii="仿宋" w:hAnsi="仿宋" w:eastAsia="仿宋" w:cs="仿宋"/>
                <w:b/>
                <w:bCs/>
                <w:sz w:val="21"/>
                <w:szCs w:val="21"/>
              </w:rPr>
              <w:t>四、投标产品制造商的专业实力（主要为会标屏）（</w:t>
            </w:r>
            <w:r>
              <w:rPr>
                <w:rFonts w:ascii="仿宋" w:hAnsi="仿宋" w:eastAsia="仿宋" w:cs="仿宋"/>
                <w:b/>
                <w:bCs/>
                <w:sz w:val="21"/>
                <w:szCs w:val="21"/>
              </w:rPr>
              <w:t>7</w:t>
            </w:r>
            <w:r>
              <w:rPr>
                <w:rFonts w:hint="eastAsia" w:ascii="仿宋" w:hAnsi="仿宋" w:eastAsia="仿宋" w:cs="仿宋"/>
                <w:b/>
                <w:bCs/>
                <w:sz w:val="21"/>
                <w:szCs w:val="21"/>
              </w:rPr>
              <w:t>分）</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1.所投LED显示屏制造商具有有效的ISO9001质量管理体系认证、ISO14001环境管理体系认证、IECQ合格危险品工艺管理认证（或IECQ QC080000有害物质过程管理体系认证）、知识产权管理体系认证， 原厂CCC 认证、ROHS FCC CE等相关认证每提供一项得1分，最高得</w:t>
            </w:r>
            <w:r>
              <w:rPr>
                <w:rFonts w:ascii="仿宋" w:hAnsi="仿宋" w:eastAsia="仿宋" w:cs="仿宋"/>
                <w:sz w:val="21"/>
                <w:szCs w:val="21"/>
              </w:rPr>
              <w:t>5</w:t>
            </w:r>
            <w:r>
              <w:rPr>
                <w:rFonts w:hint="eastAsia" w:ascii="仿宋" w:hAnsi="仿宋" w:eastAsia="仿宋" w:cs="仿宋"/>
                <w:sz w:val="21"/>
                <w:szCs w:val="21"/>
              </w:rPr>
              <w:t>分。</w:t>
            </w:r>
          </w:p>
          <w:p>
            <w:pPr>
              <w:spacing w:line="280" w:lineRule="exact"/>
              <w:ind w:firstLine="420" w:firstLineChars="200"/>
              <w:rPr>
                <w:rFonts w:ascii="仿宋" w:hAnsi="仿宋" w:eastAsia="仿宋" w:cs="仿宋"/>
                <w:sz w:val="21"/>
                <w:szCs w:val="21"/>
                <w:lang w:val="zh-CN"/>
              </w:rPr>
            </w:pPr>
            <w:r>
              <w:rPr>
                <w:rFonts w:hint="eastAsia" w:ascii="仿宋" w:hAnsi="仿宋" w:eastAsia="仿宋" w:cs="仿宋"/>
                <w:sz w:val="21"/>
                <w:szCs w:val="21"/>
              </w:rPr>
              <w:t>2</w:t>
            </w:r>
            <w:r>
              <w:rPr>
                <w:rFonts w:ascii="仿宋" w:hAnsi="仿宋" w:eastAsia="仿宋" w:cs="仿宋"/>
                <w:sz w:val="21"/>
                <w:szCs w:val="21"/>
              </w:rPr>
              <w:t>.投标人所投产品制造商,厂家规模:注册资本≥</w:t>
            </w:r>
            <w:r>
              <w:rPr>
                <w:rFonts w:hint="eastAsia" w:ascii="仿宋" w:hAnsi="仿宋" w:eastAsia="仿宋" w:cs="仿宋"/>
                <w:sz w:val="21"/>
                <w:szCs w:val="21"/>
              </w:rPr>
              <w:t>500万</w:t>
            </w:r>
            <w:r>
              <w:rPr>
                <w:rFonts w:ascii="仿宋" w:hAnsi="仿宋" w:eastAsia="仿宋" w:cs="仿宋"/>
                <w:sz w:val="21"/>
                <w:szCs w:val="21"/>
              </w:rPr>
              <w:t>元者</w:t>
            </w:r>
            <w:r>
              <w:rPr>
                <w:rFonts w:hint="eastAsia" w:ascii="仿宋" w:hAnsi="仿宋" w:eastAsia="仿宋" w:cs="仿宋"/>
                <w:sz w:val="21"/>
                <w:szCs w:val="21"/>
              </w:rPr>
              <w:t>得</w:t>
            </w:r>
            <w:r>
              <w:rPr>
                <w:rFonts w:ascii="仿宋" w:hAnsi="仿宋" w:eastAsia="仿宋" w:cs="仿宋"/>
                <w:sz w:val="21"/>
                <w:szCs w:val="21"/>
              </w:rPr>
              <w:t>1分, ≥10</w:t>
            </w:r>
            <w:r>
              <w:rPr>
                <w:rFonts w:hint="eastAsia" w:ascii="仿宋" w:hAnsi="仿宋" w:eastAsia="仿宋" w:cs="仿宋"/>
                <w:sz w:val="21"/>
                <w:szCs w:val="21"/>
              </w:rPr>
              <w:t>00万</w:t>
            </w:r>
            <w:r>
              <w:rPr>
                <w:rFonts w:ascii="仿宋" w:hAnsi="仿宋" w:eastAsia="仿宋" w:cs="仿宋"/>
                <w:sz w:val="21"/>
                <w:szCs w:val="21"/>
              </w:rPr>
              <w:t>元者</w:t>
            </w:r>
            <w:r>
              <w:rPr>
                <w:rFonts w:hint="eastAsia" w:ascii="仿宋" w:hAnsi="仿宋" w:eastAsia="仿宋" w:cs="仿宋"/>
                <w:sz w:val="21"/>
                <w:szCs w:val="21"/>
              </w:rPr>
              <w:t>得2分，</w:t>
            </w:r>
            <w:r>
              <w:rPr>
                <w:rFonts w:ascii="仿宋" w:hAnsi="仿宋" w:eastAsia="仿宋" w:cs="仿宋"/>
                <w:sz w:val="21"/>
                <w:szCs w:val="21"/>
              </w:rPr>
              <w:t>提供营业执照副本复印件证明。</w:t>
            </w:r>
          </w:p>
        </w:tc>
        <w:tc>
          <w:tcPr>
            <w:tcW w:w="2432" w:type="dxa"/>
            <w:tcBorders>
              <w:top w:val="single" w:color="auto" w:sz="4" w:space="0"/>
              <w:left w:val="nil"/>
              <w:bottom w:val="single" w:color="auto" w:sz="4" w:space="0"/>
              <w:right w:val="single" w:color="auto" w:sz="4" w:space="0"/>
            </w:tcBorders>
            <w:vAlign w:val="center"/>
          </w:tcPr>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提供有效书面材料或承诺，加盖供应商鲜章。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二、提供有效的项目合同、投资预算等可证明投资额度和费用的资料复印件并加盖投标人鲜（公）章，有涂抹、遮掩、模糊均为无效。</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三、提供在有效期内的相关证书、支撑材料复印件，加盖所投产品制造商鲜（公）章。</w:t>
            </w:r>
          </w:p>
          <w:p>
            <w:pPr>
              <w:spacing w:line="280" w:lineRule="exact"/>
              <w:ind w:firstLine="420" w:firstLineChars="200"/>
              <w:rPr>
                <w:rFonts w:ascii="仿宋" w:hAnsi="仿宋" w:eastAsia="仿宋" w:cs="仿宋"/>
                <w:sz w:val="21"/>
                <w:szCs w:val="21"/>
              </w:rPr>
            </w:pPr>
            <w:r>
              <w:rPr>
                <w:rFonts w:hint="eastAsia" w:ascii="仿宋" w:hAnsi="仿宋" w:eastAsia="仿宋" w:cs="仿宋"/>
                <w:sz w:val="21"/>
                <w:szCs w:val="21"/>
              </w:rPr>
              <w:t>四、提供在有效期内的相关证书、支撑材料复印件，加盖所投产品制造商鲜（公）章。</w:t>
            </w:r>
          </w:p>
          <w:p>
            <w:pPr>
              <w:spacing w:line="280" w:lineRule="exact"/>
              <w:ind w:firstLine="420" w:firstLineChars="200"/>
              <w:rPr>
                <w:rFonts w:ascii="仿宋" w:hAnsi="仿宋" w:eastAsia="仿宋" w:cs="仿宋"/>
                <w:sz w:val="21"/>
                <w:szCs w:val="21"/>
              </w:rPr>
            </w:pPr>
          </w:p>
          <w:p>
            <w:pPr>
              <w:spacing w:line="280" w:lineRule="exact"/>
              <w:ind w:firstLine="422" w:firstLineChars="200"/>
              <w:rPr>
                <w:rFonts w:ascii="仿宋" w:hAnsi="仿宋" w:eastAsia="仿宋" w:cs="仿宋"/>
                <w:sz w:val="21"/>
                <w:szCs w:val="21"/>
                <w:lang w:val="zh-CN"/>
              </w:rPr>
            </w:pPr>
            <w:r>
              <w:rPr>
                <w:rFonts w:hint="eastAsia" w:ascii="仿宋" w:hAnsi="仿宋" w:eastAsia="仿宋" w:cs="仿宋"/>
                <w:b/>
                <w:bCs/>
                <w:sz w:val="21"/>
                <w:szCs w:val="21"/>
              </w:rPr>
              <w:t>注：以上材料需在投标文件中展现</w:t>
            </w:r>
          </w:p>
        </w:tc>
      </w:tr>
    </w:tbl>
    <w:p/>
    <w:p>
      <w:pPr>
        <w:spacing w:line="400" w:lineRule="exact"/>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eq \o\ac(○,3)</w:instrText>
      </w:r>
      <w:r>
        <w:rPr>
          <w:rFonts w:hint="eastAsia" w:ascii="仿宋" w:hAnsi="仿宋" w:eastAsia="仿宋" w:cs="仿宋"/>
          <w:sz w:val="21"/>
          <w:szCs w:val="21"/>
        </w:rPr>
        <w:fldChar w:fldCharType="end"/>
      </w:r>
      <w:r>
        <w:rPr>
          <w:rFonts w:hint="eastAsia" w:ascii="仿宋" w:hAnsi="仿宋" w:eastAsia="仿宋" w:cs="仿宋"/>
          <w:sz w:val="24"/>
          <w:szCs w:val="24"/>
        </w:rPr>
        <w:t>：关于小微企业报价扣除比例说明</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hAnsi="仿宋" w:eastAsia="仿宋" w:cs="仿宋"/>
          <w:sz w:val="24"/>
          <w:szCs w:val="24"/>
        </w:rPr>
        <w:t>对小微型企业给予</w:t>
      </w:r>
      <w:r>
        <w:rPr>
          <w:rFonts w:ascii="仿宋" w:hAnsi="仿宋" w:eastAsia="仿宋" w:cs="仿宋"/>
          <w:sz w:val="24"/>
          <w:szCs w:val="24"/>
          <w:u w:val="single"/>
        </w:rPr>
        <w:t xml:space="preserve"> 8  </w:t>
      </w:r>
      <w:r>
        <w:rPr>
          <w:rFonts w:ascii="仿宋" w:hAnsi="仿宋" w:eastAsia="仿宋" w:cs="仿宋"/>
          <w:sz w:val="24"/>
          <w:szCs w:val="24"/>
        </w:rPr>
        <w:t>%的扣除</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p>
      <w:pPr>
        <w:spacing w:line="400" w:lineRule="exact"/>
        <w:outlineLvl w:val="1"/>
        <w:rPr>
          <w:rFonts w:ascii="仿宋" w:hAnsi="仿宋" w:eastAsia="仿宋" w:cs="仿宋"/>
          <w:b/>
          <w:bCs/>
          <w:sz w:val="24"/>
          <w:szCs w:val="24"/>
        </w:rPr>
      </w:pPr>
      <w:bookmarkStart w:id="142" w:name="_Toc80882092"/>
      <w:r>
        <w:rPr>
          <w:rFonts w:hint="eastAsia" w:ascii="仿宋" w:hAnsi="仿宋" w:eastAsia="仿宋" w:cs="仿宋"/>
          <w:b/>
          <w:bCs/>
          <w:sz w:val="24"/>
          <w:szCs w:val="24"/>
        </w:rPr>
        <w:t>三、无效响应</w:t>
      </w:r>
      <w:bookmarkEnd w:id="142"/>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响应人发生以下条款情况之一者，视为无效响应，其响应文件将被拒绝：</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（一）响应人不符合规定的基本资格条件或特定资格条件的；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（二）响应人的法定代表人或其授权代表未参加磋商；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（三）响应人未按照竞争性磋商文件的要求缴纳磋商保证金；</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（四）响应人所提交的响应文件不按第七篇“响应文件编制要求”规定签字、盖章；</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（五）法定代表人为同一个人的两个及两个以上法人，母公司、全资子公司及其控股公司，在同一分包采购中同时参与磋商；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（六）响应人的服务期、质量保证期及磋商有效期不满足竞争性磋商文件要求的；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（七）响应人响应文件内容有与国家现行法律法规相违背的内容，或附有采购人无法接受的条件；</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（八）资格性审查中要求原件备查而未提供的。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（九）响应文件中的报价或最终总报价超最高限价。</w:t>
      </w:r>
    </w:p>
    <w:p>
      <w:pPr>
        <w:spacing w:line="400" w:lineRule="exact"/>
        <w:outlineLvl w:val="1"/>
        <w:rPr>
          <w:rFonts w:ascii="仿宋" w:hAnsi="仿宋" w:eastAsia="仿宋" w:cs="仿宋"/>
          <w:b/>
          <w:bCs/>
          <w:sz w:val="24"/>
          <w:szCs w:val="24"/>
        </w:rPr>
      </w:pPr>
      <w:bookmarkStart w:id="143" w:name="_Toc80882093"/>
      <w:r>
        <w:rPr>
          <w:rFonts w:hint="eastAsia" w:ascii="仿宋" w:hAnsi="仿宋" w:eastAsia="仿宋" w:cs="仿宋"/>
          <w:b/>
          <w:bCs/>
          <w:sz w:val="24"/>
          <w:szCs w:val="24"/>
        </w:rPr>
        <w:t>四、采购终止</w:t>
      </w:r>
      <w:bookmarkEnd w:id="143"/>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出现下列情形之一的，采购人应当终止竞争性磋商采购活动，发布项目终止公告并说明原因，重新开展采购活动：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（一）因情况变化，不再符合规定的竞争性磋商采购方式适用情形的；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（二）出现影响采购公正的违法、违规行为的；</w:t>
      </w:r>
    </w:p>
    <w:p>
      <w:pPr>
        <w:snapToGrid w:val="0"/>
        <w:spacing w:line="400" w:lineRule="exact"/>
        <w:ind w:firstLine="465"/>
        <w:rPr>
          <w:rFonts w:ascii="仿宋" w:hAnsi="仿宋" w:eastAsia="仿宋" w:cs="仿宋"/>
          <w:sz w:val="24"/>
          <w:szCs w:val="24"/>
        </w:rPr>
        <w:sectPr>
          <w:footerReference r:id="rId4" w:type="default"/>
          <w:pgSz w:w="11907" w:h="16840"/>
          <w:pgMar w:top="1134" w:right="1191" w:bottom="1134" w:left="1304" w:header="964" w:footer="992" w:gutter="0"/>
          <w:pgNumType w:fmt="numberInDash" w:start="1"/>
          <w:cols w:space="720" w:num="1"/>
        </w:sectPr>
      </w:pPr>
      <w:r>
        <w:rPr>
          <w:rFonts w:hint="eastAsia" w:ascii="仿宋" w:hAnsi="仿宋" w:eastAsia="仿宋" w:cs="仿宋"/>
          <w:sz w:val="24"/>
          <w:szCs w:val="24"/>
        </w:rPr>
        <w:t>（三）在采购过程中符合要求的供应商或者报价未超过采购预算的供应商不足3家的，但《政府采购竞争性磋商采购方式管理暂行办法》第二十一条第三款规定的情况。</w:t>
      </w:r>
    </w:p>
    <w:bookmarkEnd w:id="0"/>
    <w:p>
      <w:pPr>
        <w:keepNext/>
        <w:tabs>
          <w:tab w:val="left" w:pos="3360"/>
        </w:tabs>
        <w:snapToGrid w:val="0"/>
        <w:spacing w:line="360" w:lineRule="auto"/>
        <w:ind w:firstLine="2530" w:firstLineChars="700"/>
        <w:outlineLvl w:val="0"/>
        <w:rPr>
          <w:rFonts w:ascii="仿宋" w:hAnsi="仿宋" w:eastAsia="仿宋" w:cs="仿宋"/>
          <w:b/>
          <w:sz w:val="36"/>
          <w:szCs w:val="30"/>
        </w:rPr>
      </w:pPr>
      <w:bookmarkStart w:id="144" w:name="_Toc80882094"/>
      <w:r>
        <w:rPr>
          <w:rFonts w:hint="eastAsia" w:ascii="仿宋" w:hAnsi="仿宋" w:eastAsia="仿宋" w:cs="仿宋"/>
          <w:b/>
          <w:sz w:val="36"/>
          <w:szCs w:val="30"/>
        </w:rPr>
        <w:t>第六篇  合同主要条款</w:t>
      </w:r>
      <w:bookmarkEnd w:id="144"/>
    </w:p>
    <w:p>
      <w:pPr>
        <w:rPr>
          <w:rFonts w:ascii="仿宋" w:hAnsi="仿宋" w:eastAsia="仿宋"/>
          <w:b/>
          <w:bCs/>
          <w:color w:val="000000"/>
          <w:sz w:val="24"/>
        </w:rPr>
      </w:pPr>
      <w:bookmarkStart w:id="145" w:name="_Toc488067991"/>
      <w:bookmarkStart w:id="146" w:name="_Toc488067898"/>
      <w:r>
        <w:rPr>
          <w:rFonts w:hint="eastAsia" w:ascii="仿宋" w:hAnsi="仿宋" w:eastAsia="仿宋"/>
          <w:b/>
          <w:bCs/>
          <w:color w:val="000000"/>
          <w:sz w:val="24"/>
        </w:rPr>
        <w:t>一、定义</w:t>
      </w:r>
      <w:bookmarkEnd w:id="145"/>
      <w:bookmarkEnd w:id="146"/>
    </w:p>
    <w:p>
      <w:pPr>
        <w:snapToGrid w:val="0"/>
        <w:spacing w:line="380" w:lineRule="exact"/>
        <w:ind w:firstLine="600" w:firstLineChars="250"/>
        <w:rPr>
          <w:rFonts w:ascii="仿宋" w:hAnsi="仿宋" w:eastAsia="仿宋"/>
          <w:bCs/>
          <w:color w:val="000000"/>
          <w:sz w:val="24"/>
        </w:rPr>
      </w:pPr>
      <w:bookmarkStart w:id="147" w:name="_Toc488067992"/>
      <w:bookmarkStart w:id="148" w:name="_Toc488067899"/>
      <w:r>
        <w:rPr>
          <w:rFonts w:hint="eastAsia" w:ascii="仿宋" w:hAnsi="仿宋" w:eastAsia="仿宋"/>
          <w:bCs/>
          <w:color w:val="000000"/>
          <w:sz w:val="24"/>
        </w:rPr>
        <w:t>1、甲方（需方）即采购人，是指通过竞争性磋商采购，接受合同货物及服务的各级国家机关、事业单位和团体组织。</w:t>
      </w:r>
      <w:bookmarkEnd w:id="147"/>
      <w:bookmarkEnd w:id="148"/>
    </w:p>
    <w:p>
      <w:pPr>
        <w:snapToGrid w:val="0"/>
        <w:spacing w:line="380" w:lineRule="exact"/>
        <w:ind w:firstLine="600" w:firstLineChars="250"/>
        <w:rPr>
          <w:rFonts w:ascii="仿宋" w:hAnsi="仿宋" w:eastAsia="仿宋"/>
          <w:bCs/>
          <w:color w:val="000000"/>
          <w:sz w:val="24"/>
        </w:rPr>
      </w:pPr>
      <w:bookmarkStart w:id="149" w:name="_Toc488067993"/>
      <w:bookmarkStart w:id="150" w:name="_Toc488067900"/>
      <w:r>
        <w:rPr>
          <w:rFonts w:hint="eastAsia" w:ascii="仿宋" w:hAnsi="仿宋" w:eastAsia="仿宋"/>
          <w:bCs/>
          <w:color w:val="000000"/>
          <w:sz w:val="24"/>
        </w:rPr>
        <w:t>2、乙方（供方）即成交供应商，是指成交后提供合同货物和服务的自然人、法人及其他组织。</w:t>
      </w:r>
      <w:bookmarkEnd w:id="149"/>
      <w:bookmarkEnd w:id="150"/>
    </w:p>
    <w:p>
      <w:pPr>
        <w:snapToGrid w:val="0"/>
        <w:spacing w:line="380" w:lineRule="exact"/>
        <w:ind w:firstLine="600" w:firstLineChars="250"/>
        <w:rPr>
          <w:rFonts w:ascii="仿宋" w:hAnsi="仿宋" w:eastAsia="仿宋"/>
          <w:bCs/>
          <w:color w:val="000000"/>
          <w:sz w:val="24"/>
        </w:rPr>
      </w:pPr>
      <w:bookmarkStart w:id="151" w:name="_Toc488067994"/>
      <w:bookmarkStart w:id="152" w:name="_Toc488067901"/>
      <w:r>
        <w:rPr>
          <w:rFonts w:hint="eastAsia" w:ascii="仿宋" w:hAnsi="仿宋" w:eastAsia="仿宋"/>
          <w:bCs/>
          <w:color w:val="000000"/>
          <w:sz w:val="24"/>
        </w:rPr>
        <w:t>3、合同是指由甲乙双方按照竞争性磋商文件和响应文件的实质性内容，通过协商一致达成的书面协议。</w:t>
      </w:r>
      <w:bookmarkEnd w:id="151"/>
      <w:bookmarkEnd w:id="152"/>
    </w:p>
    <w:p>
      <w:pPr>
        <w:snapToGrid w:val="0"/>
        <w:spacing w:line="380" w:lineRule="exact"/>
        <w:ind w:firstLine="600" w:firstLineChars="250"/>
        <w:rPr>
          <w:rFonts w:ascii="仿宋" w:hAnsi="仿宋" w:eastAsia="仿宋"/>
          <w:bCs/>
          <w:color w:val="000000"/>
          <w:sz w:val="24"/>
        </w:rPr>
      </w:pPr>
      <w:bookmarkStart w:id="153" w:name="_Toc488067995"/>
      <w:bookmarkStart w:id="154" w:name="_Toc488067902"/>
      <w:r>
        <w:rPr>
          <w:rFonts w:hint="eastAsia" w:ascii="仿宋" w:hAnsi="仿宋" w:eastAsia="仿宋"/>
          <w:bCs/>
          <w:color w:val="000000"/>
          <w:sz w:val="24"/>
        </w:rPr>
        <w:t>4、合同价格指以成交价格为依据，在供方全面履行合同义务后，需方（或财政部门）应支付给供方的金额。</w:t>
      </w:r>
      <w:bookmarkEnd w:id="153"/>
      <w:bookmarkEnd w:id="154"/>
    </w:p>
    <w:p>
      <w:pPr>
        <w:snapToGrid w:val="0"/>
        <w:spacing w:line="380" w:lineRule="exact"/>
        <w:ind w:firstLine="600" w:firstLineChars="250"/>
        <w:rPr>
          <w:rFonts w:ascii="仿宋" w:hAnsi="仿宋" w:eastAsia="仿宋"/>
          <w:bCs/>
          <w:color w:val="000000"/>
          <w:sz w:val="24"/>
        </w:rPr>
      </w:pPr>
      <w:bookmarkStart w:id="155" w:name="_Toc488067903"/>
      <w:bookmarkStart w:id="156" w:name="_Toc488067996"/>
      <w:r>
        <w:rPr>
          <w:rFonts w:hint="eastAsia" w:ascii="仿宋" w:hAnsi="仿宋" w:eastAsia="仿宋"/>
          <w:bCs/>
          <w:color w:val="000000"/>
          <w:sz w:val="24"/>
        </w:rPr>
        <w:t>5、技术资料是指合同货物及其相关的设计、制造、监造、检验、验收等文件（包括图纸、各种文字说明、标准）。</w:t>
      </w:r>
      <w:bookmarkEnd w:id="155"/>
      <w:bookmarkEnd w:id="156"/>
    </w:p>
    <w:p>
      <w:pPr>
        <w:rPr>
          <w:rFonts w:ascii="仿宋" w:hAnsi="仿宋" w:eastAsia="仿宋"/>
          <w:b/>
          <w:bCs/>
          <w:sz w:val="24"/>
        </w:rPr>
      </w:pPr>
      <w:bookmarkStart w:id="157" w:name="_Toc488067997"/>
      <w:bookmarkStart w:id="158" w:name="_Toc488067904"/>
      <w:r>
        <w:rPr>
          <w:rFonts w:hint="eastAsia" w:ascii="仿宋" w:hAnsi="仿宋" w:eastAsia="仿宋"/>
          <w:b/>
          <w:bCs/>
          <w:color w:val="000000"/>
          <w:sz w:val="24"/>
        </w:rPr>
        <w:t>二、货物内容（合同内</w:t>
      </w:r>
      <w:r>
        <w:rPr>
          <w:rFonts w:hint="eastAsia" w:ascii="仿宋" w:hAnsi="仿宋" w:eastAsia="仿宋"/>
          <w:b/>
          <w:bCs/>
          <w:sz w:val="24"/>
        </w:rPr>
        <w:t>容）</w:t>
      </w:r>
      <w:bookmarkEnd w:id="157"/>
      <w:bookmarkEnd w:id="158"/>
    </w:p>
    <w:p>
      <w:pPr>
        <w:snapToGrid w:val="0"/>
        <w:spacing w:line="380" w:lineRule="exact"/>
        <w:ind w:firstLine="600" w:firstLineChars="250"/>
        <w:rPr>
          <w:rFonts w:ascii="仿宋" w:hAnsi="仿宋" w:eastAsia="仿宋"/>
          <w:bCs/>
          <w:sz w:val="24"/>
        </w:rPr>
      </w:pPr>
      <w:bookmarkStart w:id="159" w:name="_Toc488067998"/>
      <w:bookmarkStart w:id="160" w:name="_Toc488067905"/>
      <w:r>
        <w:rPr>
          <w:rFonts w:hint="eastAsia" w:ascii="仿宋" w:hAnsi="仿宋" w:eastAsia="仿宋"/>
          <w:bCs/>
          <w:sz w:val="24"/>
        </w:rPr>
        <w:t>合同包括以下内容：货物名称、型号规格、技术参数、数量（单位）、备注等内容。</w:t>
      </w:r>
      <w:bookmarkEnd w:id="159"/>
      <w:bookmarkEnd w:id="160"/>
    </w:p>
    <w:p>
      <w:pPr>
        <w:rPr>
          <w:rFonts w:ascii="仿宋" w:hAnsi="仿宋" w:eastAsia="仿宋"/>
          <w:b/>
          <w:bCs/>
          <w:sz w:val="24"/>
        </w:rPr>
      </w:pPr>
      <w:bookmarkStart w:id="161" w:name="_Toc488067999"/>
      <w:bookmarkStart w:id="162" w:name="_Toc488067906"/>
      <w:r>
        <w:rPr>
          <w:rFonts w:hint="eastAsia" w:ascii="仿宋" w:hAnsi="仿宋" w:eastAsia="仿宋"/>
          <w:b/>
          <w:bCs/>
          <w:sz w:val="24"/>
        </w:rPr>
        <w:t>三、合同价格</w:t>
      </w:r>
      <w:bookmarkEnd w:id="161"/>
      <w:bookmarkEnd w:id="162"/>
    </w:p>
    <w:p>
      <w:pPr>
        <w:snapToGrid w:val="0"/>
        <w:spacing w:line="380" w:lineRule="exact"/>
        <w:ind w:firstLine="600" w:firstLineChars="250"/>
        <w:rPr>
          <w:rFonts w:ascii="仿宋" w:hAnsi="仿宋" w:eastAsia="仿宋"/>
          <w:bCs/>
          <w:sz w:val="24"/>
        </w:rPr>
      </w:pPr>
      <w:bookmarkStart w:id="163" w:name="_Toc488068000"/>
      <w:bookmarkStart w:id="164" w:name="_Toc488067907"/>
      <w:r>
        <w:rPr>
          <w:rFonts w:hint="eastAsia" w:ascii="仿宋" w:hAnsi="仿宋" w:eastAsia="仿宋"/>
          <w:bCs/>
          <w:sz w:val="24"/>
        </w:rPr>
        <w:t>1、合同价格即合同总价。</w:t>
      </w:r>
      <w:bookmarkEnd w:id="163"/>
      <w:bookmarkEnd w:id="164"/>
    </w:p>
    <w:p>
      <w:pPr>
        <w:snapToGrid w:val="0"/>
        <w:spacing w:line="380" w:lineRule="exact"/>
        <w:ind w:firstLine="600" w:firstLineChars="250"/>
        <w:rPr>
          <w:rFonts w:ascii="仿宋" w:hAnsi="仿宋" w:eastAsia="仿宋"/>
          <w:bCs/>
          <w:sz w:val="24"/>
        </w:rPr>
      </w:pPr>
      <w:bookmarkStart w:id="165" w:name="_Toc488068001"/>
      <w:bookmarkStart w:id="166" w:name="_Toc488067908"/>
      <w:r>
        <w:rPr>
          <w:rFonts w:hint="eastAsia" w:ascii="仿宋" w:hAnsi="仿宋" w:eastAsia="仿宋"/>
          <w:bCs/>
          <w:sz w:val="24"/>
        </w:rPr>
        <w:t>2、合同价格包括合同货物、技术资料、合同货物的税费、运杂费、保险费、包装费、资料下载费、装卸费及与货物有关的供方应纳的税费，所有税费由乙方负担。</w:t>
      </w:r>
      <w:bookmarkEnd w:id="165"/>
      <w:bookmarkEnd w:id="166"/>
    </w:p>
    <w:p>
      <w:pPr>
        <w:snapToGrid w:val="0"/>
        <w:spacing w:line="380" w:lineRule="exact"/>
        <w:ind w:firstLine="600" w:firstLineChars="250"/>
        <w:rPr>
          <w:rFonts w:ascii="仿宋" w:hAnsi="仿宋" w:eastAsia="仿宋"/>
          <w:bCs/>
          <w:sz w:val="24"/>
        </w:rPr>
      </w:pPr>
      <w:bookmarkStart w:id="167" w:name="_Toc488067909"/>
      <w:bookmarkStart w:id="168" w:name="_Toc488068002"/>
      <w:r>
        <w:rPr>
          <w:rFonts w:hint="eastAsia" w:ascii="仿宋" w:hAnsi="仿宋" w:eastAsia="仿宋"/>
          <w:bCs/>
          <w:sz w:val="24"/>
        </w:rPr>
        <w:t>3、合同货物单价为不变价。</w:t>
      </w:r>
      <w:bookmarkEnd w:id="167"/>
      <w:bookmarkEnd w:id="168"/>
    </w:p>
    <w:p>
      <w:pPr>
        <w:rPr>
          <w:rFonts w:ascii="仿宋" w:hAnsi="仿宋" w:eastAsia="仿宋"/>
          <w:b/>
          <w:bCs/>
          <w:color w:val="000000"/>
          <w:sz w:val="24"/>
        </w:rPr>
      </w:pPr>
      <w:bookmarkStart w:id="169" w:name="_Toc488068003"/>
      <w:bookmarkStart w:id="170" w:name="_Toc488067910"/>
      <w:r>
        <w:rPr>
          <w:rFonts w:hint="eastAsia" w:ascii="仿宋" w:hAnsi="仿宋" w:eastAsia="仿宋"/>
          <w:b/>
          <w:bCs/>
          <w:color w:val="000000"/>
          <w:sz w:val="24"/>
        </w:rPr>
        <w:t>四、转包或分包</w:t>
      </w:r>
      <w:bookmarkEnd w:id="169"/>
      <w:bookmarkEnd w:id="170"/>
    </w:p>
    <w:p>
      <w:pPr>
        <w:snapToGrid w:val="0"/>
        <w:spacing w:line="380" w:lineRule="exact"/>
        <w:ind w:firstLine="600" w:firstLineChars="250"/>
        <w:rPr>
          <w:rFonts w:ascii="仿宋" w:hAnsi="仿宋" w:eastAsia="仿宋"/>
          <w:bCs/>
          <w:color w:val="000000"/>
          <w:sz w:val="24"/>
        </w:rPr>
      </w:pPr>
      <w:bookmarkStart w:id="171" w:name="_Toc488068004"/>
      <w:bookmarkStart w:id="172" w:name="_Toc488067911"/>
      <w:r>
        <w:rPr>
          <w:rFonts w:hint="eastAsia" w:ascii="仿宋" w:hAnsi="仿宋" w:eastAsia="仿宋"/>
          <w:bCs/>
          <w:color w:val="000000"/>
          <w:sz w:val="24"/>
        </w:rPr>
        <w:t>1、本合同范围的货物，应由乙方直接供应，不得转让他人供应；</w:t>
      </w:r>
      <w:bookmarkEnd w:id="171"/>
      <w:bookmarkEnd w:id="172"/>
    </w:p>
    <w:p>
      <w:pPr>
        <w:snapToGrid w:val="0"/>
        <w:spacing w:line="380" w:lineRule="exact"/>
        <w:ind w:firstLine="600" w:firstLineChars="250"/>
        <w:rPr>
          <w:rFonts w:ascii="仿宋" w:hAnsi="仿宋" w:eastAsia="仿宋"/>
          <w:bCs/>
          <w:color w:val="000000"/>
          <w:sz w:val="24"/>
        </w:rPr>
      </w:pPr>
      <w:bookmarkStart w:id="173" w:name="_Toc488068005"/>
      <w:bookmarkStart w:id="174" w:name="_Toc488067912"/>
      <w:r>
        <w:rPr>
          <w:rFonts w:hint="eastAsia" w:ascii="仿宋" w:hAnsi="仿宋" w:eastAsia="仿宋"/>
          <w:bCs/>
          <w:color w:val="000000"/>
          <w:sz w:val="24"/>
        </w:rPr>
        <w:t>2、非经甲方书面同意，乙方不得将本合同范围的货物全部或部分分包给他人供应；</w:t>
      </w:r>
      <w:bookmarkEnd w:id="173"/>
      <w:bookmarkEnd w:id="174"/>
    </w:p>
    <w:p>
      <w:pPr>
        <w:snapToGrid w:val="0"/>
        <w:spacing w:line="380" w:lineRule="exact"/>
        <w:ind w:firstLine="600" w:firstLineChars="250"/>
        <w:rPr>
          <w:rFonts w:ascii="仿宋" w:hAnsi="仿宋" w:eastAsia="仿宋"/>
          <w:bCs/>
          <w:color w:val="000000"/>
          <w:sz w:val="24"/>
        </w:rPr>
      </w:pPr>
      <w:bookmarkStart w:id="175" w:name="_Toc488067913"/>
      <w:bookmarkStart w:id="176" w:name="_Toc488068006"/>
      <w:r>
        <w:rPr>
          <w:rFonts w:hint="eastAsia" w:ascii="仿宋" w:hAnsi="仿宋" w:eastAsia="仿宋"/>
          <w:bCs/>
          <w:color w:val="000000"/>
          <w:sz w:val="24"/>
        </w:rPr>
        <w:t>3、如有转让和未经甲方同意的分包行为，甲方有权解除合同，没收履约保证金并追究乙方的违约责任。</w:t>
      </w:r>
      <w:bookmarkEnd w:id="175"/>
      <w:bookmarkEnd w:id="176"/>
    </w:p>
    <w:p>
      <w:pPr>
        <w:rPr>
          <w:rFonts w:ascii="仿宋" w:hAnsi="仿宋" w:eastAsia="仿宋"/>
          <w:b/>
          <w:bCs/>
          <w:color w:val="000000"/>
          <w:sz w:val="24"/>
        </w:rPr>
      </w:pPr>
      <w:r>
        <w:rPr>
          <w:rFonts w:hint="eastAsia" w:ascii="仿宋" w:hAnsi="仿宋" w:eastAsia="仿宋"/>
          <w:b/>
          <w:bCs/>
          <w:color w:val="000000"/>
          <w:sz w:val="24"/>
        </w:rPr>
        <w:t>五、质量保证及售后服务</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1、乙方应按竞争性磋商文件规定的货物性能、技术要求、质量标准向甲方提供未经使用的全新产品。</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2、乙方提供的货物在质保期内因货物本身的质量问题发生故障，乙方应负责免费更换。对达不到技术要求者，根据实际情况，经双方协商，可按以下办法处理：</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(1)更换：由乙方承担所发生的全部费用。</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(2)贬值处理：由甲乙双方合议定价。</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(3)退货处理：乙方应退还甲方支付的合同款，同时应承担该货物的直接费用（运输、保险、检验、货款利息及银行手续费等）。</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(4) 如在使用过程中发生质量问题，乙方应同本项目“第三篇  采购商务需求”对质量保证及售后服务内容的约定。</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(5)在质保期内，乙方应对货物出现的质量及安全问题负责处理解决并承担一切费用。</w:t>
      </w:r>
    </w:p>
    <w:p>
      <w:pPr>
        <w:rPr>
          <w:rFonts w:ascii="仿宋" w:hAnsi="仿宋" w:eastAsia="仿宋"/>
          <w:b/>
          <w:bCs/>
          <w:color w:val="000000"/>
          <w:sz w:val="24"/>
        </w:rPr>
      </w:pPr>
      <w:r>
        <w:rPr>
          <w:rFonts w:hint="eastAsia" w:ascii="仿宋" w:hAnsi="仿宋" w:eastAsia="仿宋"/>
          <w:b/>
          <w:bCs/>
          <w:color w:val="000000"/>
          <w:sz w:val="24"/>
        </w:rPr>
        <w:t>六、付款</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1、本合同使用货币币制如未作特别说明均为人民币。</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2、付款方式：银行转账、现金支票。</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3、付款方法：同本项目“第三篇 第四条”中关于付款方式的约定。</w:t>
      </w:r>
    </w:p>
    <w:p>
      <w:pPr>
        <w:rPr>
          <w:rFonts w:ascii="仿宋" w:hAnsi="仿宋" w:eastAsia="仿宋"/>
          <w:b/>
          <w:bCs/>
          <w:color w:val="000000"/>
          <w:sz w:val="24"/>
        </w:rPr>
      </w:pPr>
      <w:r>
        <w:rPr>
          <w:rFonts w:hint="eastAsia" w:ascii="仿宋" w:hAnsi="仿宋" w:eastAsia="仿宋"/>
          <w:b/>
          <w:bCs/>
          <w:color w:val="000000"/>
          <w:sz w:val="24"/>
        </w:rPr>
        <w:t>七、检查验收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1、供方应随货物提供合格证和质量证明文件，如是国外进口的货物还须提供入关证明。</w:t>
      </w:r>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2、货物验收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3、货物验收报告应由需方、供方经办人签字，并加盖双方公章，以此作为支付凭据。</w:t>
      </w:r>
    </w:p>
    <w:p>
      <w:pPr>
        <w:rPr>
          <w:rFonts w:ascii="仿宋" w:hAnsi="仿宋" w:eastAsia="仿宋"/>
          <w:b/>
          <w:bCs/>
          <w:color w:val="000000"/>
          <w:sz w:val="24"/>
        </w:rPr>
      </w:pPr>
      <w:r>
        <w:rPr>
          <w:rFonts w:hint="eastAsia" w:ascii="仿宋" w:hAnsi="仿宋" w:eastAsia="仿宋"/>
          <w:b/>
          <w:bCs/>
          <w:color w:val="000000"/>
          <w:sz w:val="24"/>
        </w:rPr>
        <w:t>八、索赔</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2、根据货物的疵劣和受损程度以及需方遭受损失的金额，经双方同意降低货物价格。</w:t>
      </w:r>
    </w:p>
    <w:p>
      <w:pPr>
        <w:rPr>
          <w:rFonts w:ascii="仿宋" w:hAnsi="仿宋" w:eastAsia="仿宋"/>
          <w:b/>
          <w:bCs/>
          <w:color w:val="000000"/>
          <w:sz w:val="24"/>
        </w:rPr>
      </w:pPr>
      <w:r>
        <w:rPr>
          <w:rFonts w:hint="eastAsia" w:ascii="仿宋" w:hAnsi="仿宋" w:eastAsia="仿宋"/>
          <w:b/>
          <w:bCs/>
          <w:color w:val="000000"/>
          <w:sz w:val="24"/>
        </w:rPr>
        <w:t>九、知识产权</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2、若涉及软件开发等服务类项目知识产权的，知识产权归采购人所有。</w:t>
      </w:r>
    </w:p>
    <w:p>
      <w:pPr>
        <w:rPr>
          <w:rFonts w:ascii="仿宋" w:hAnsi="仿宋" w:eastAsia="仿宋"/>
          <w:b/>
          <w:bCs/>
          <w:color w:val="000000"/>
          <w:sz w:val="24"/>
        </w:rPr>
      </w:pPr>
      <w:bookmarkStart w:id="177" w:name="_Toc488067914"/>
      <w:bookmarkStart w:id="178" w:name="_Toc488068007"/>
      <w:r>
        <w:rPr>
          <w:rFonts w:hint="eastAsia" w:ascii="仿宋" w:hAnsi="仿宋" w:eastAsia="仿宋"/>
          <w:b/>
          <w:bCs/>
          <w:color w:val="000000"/>
          <w:sz w:val="24"/>
        </w:rPr>
        <w:t>十、合同争议的解决</w:t>
      </w:r>
      <w:bookmarkEnd w:id="177"/>
      <w:bookmarkEnd w:id="178"/>
    </w:p>
    <w:p>
      <w:pPr>
        <w:snapToGrid w:val="0"/>
        <w:spacing w:line="380" w:lineRule="exact"/>
        <w:ind w:firstLine="480" w:firstLineChars="200"/>
        <w:rPr>
          <w:rFonts w:ascii="仿宋" w:hAnsi="仿宋" w:eastAsia="仿宋"/>
          <w:bCs/>
          <w:color w:val="000000"/>
          <w:sz w:val="24"/>
        </w:rPr>
      </w:pPr>
      <w:bookmarkStart w:id="179" w:name="_Toc488068008"/>
      <w:bookmarkStart w:id="180" w:name="_Toc488067915"/>
      <w:r>
        <w:rPr>
          <w:rFonts w:hint="eastAsia" w:ascii="仿宋" w:hAnsi="仿宋" w:eastAsia="仿宋"/>
          <w:bCs/>
          <w:color w:val="000000"/>
          <w:sz w:val="24"/>
        </w:rPr>
        <w:t>1、当事人友好协商达成一致</w:t>
      </w:r>
      <w:bookmarkEnd w:id="179"/>
      <w:bookmarkEnd w:id="180"/>
    </w:p>
    <w:p>
      <w:pPr>
        <w:snapToGrid w:val="0"/>
        <w:spacing w:line="380" w:lineRule="exact"/>
        <w:ind w:firstLine="480" w:firstLineChars="200"/>
        <w:rPr>
          <w:rFonts w:ascii="仿宋" w:hAnsi="仿宋" w:eastAsia="仿宋"/>
          <w:bCs/>
          <w:color w:val="000000"/>
          <w:sz w:val="24"/>
        </w:rPr>
      </w:pPr>
      <w:bookmarkStart w:id="181" w:name="_Toc488068009"/>
      <w:bookmarkStart w:id="182" w:name="_Toc488067916"/>
      <w:r>
        <w:rPr>
          <w:rFonts w:hint="eastAsia" w:ascii="仿宋" w:hAnsi="仿宋" w:eastAsia="仿宋"/>
          <w:bCs/>
          <w:color w:val="000000"/>
          <w:sz w:val="24"/>
        </w:rPr>
        <w:t>2、在60天内当事人协商不能达成协议的，可提请采购人当地仲裁机构仲裁。</w:t>
      </w:r>
      <w:bookmarkEnd w:id="181"/>
      <w:bookmarkEnd w:id="182"/>
    </w:p>
    <w:p>
      <w:pPr>
        <w:rPr>
          <w:rFonts w:ascii="仿宋" w:hAnsi="仿宋" w:eastAsia="仿宋"/>
          <w:b/>
          <w:bCs/>
          <w:color w:val="000000"/>
          <w:sz w:val="24"/>
        </w:rPr>
      </w:pPr>
      <w:bookmarkStart w:id="183" w:name="_Toc488067917"/>
      <w:bookmarkStart w:id="184" w:name="_Toc488068010"/>
      <w:r>
        <w:rPr>
          <w:rFonts w:hint="eastAsia" w:ascii="仿宋" w:hAnsi="仿宋" w:eastAsia="仿宋"/>
          <w:b/>
          <w:bCs/>
          <w:color w:val="000000"/>
          <w:sz w:val="24"/>
        </w:rPr>
        <w:t>十一、违约责任</w:t>
      </w:r>
      <w:bookmarkEnd w:id="183"/>
      <w:bookmarkEnd w:id="184"/>
    </w:p>
    <w:p>
      <w:pPr>
        <w:snapToGrid w:val="0"/>
        <w:spacing w:line="380" w:lineRule="exact"/>
        <w:ind w:firstLine="480" w:firstLineChars="200"/>
        <w:rPr>
          <w:rFonts w:ascii="仿宋" w:hAnsi="仿宋" w:eastAsia="仿宋"/>
          <w:bCs/>
          <w:color w:val="000000"/>
          <w:sz w:val="24"/>
        </w:rPr>
      </w:pPr>
      <w:bookmarkStart w:id="185" w:name="_Toc488068011"/>
      <w:bookmarkStart w:id="186" w:name="_Toc488067918"/>
      <w:r>
        <w:rPr>
          <w:rFonts w:hint="eastAsia" w:ascii="仿宋" w:hAnsi="仿宋" w:eastAsia="仿宋"/>
          <w:bCs/>
          <w:color w:val="000000"/>
          <w:sz w:val="24"/>
        </w:rPr>
        <w:t>按《中华人民共和国合同法》、《中华人民共和国政府采购法》有关条款，或由供需双方约定。</w:t>
      </w:r>
      <w:bookmarkEnd w:id="185"/>
      <w:bookmarkEnd w:id="186"/>
    </w:p>
    <w:p>
      <w:pPr>
        <w:rPr>
          <w:rFonts w:ascii="仿宋" w:hAnsi="仿宋" w:eastAsia="仿宋"/>
          <w:b/>
          <w:bCs/>
          <w:color w:val="000000"/>
          <w:sz w:val="24"/>
        </w:rPr>
      </w:pPr>
      <w:bookmarkStart w:id="187" w:name="_Toc488068012"/>
      <w:bookmarkStart w:id="188" w:name="_Toc488067919"/>
      <w:r>
        <w:rPr>
          <w:rFonts w:hint="eastAsia" w:ascii="仿宋" w:hAnsi="仿宋" w:eastAsia="仿宋"/>
          <w:b/>
          <w:bCs/>
          <w:color w:val="000000"/>
          <w:sz w:val="24"/>
        </w:rPr>
        <w:t>十二、合同生效及其它</w:t>
      </w:r>
      <w:bookmarkEnd w:id="187"/>
      <w:bookmarkEnd w:id="188"/>
    </w:p>
    <w:p>
      <w:pPr>
        <w:snapToGrid w:val="0"/>
        <w:spacing w:line="380" w:lineRule="exact"/>
        <w:ind w:firstLine="480" w:firstLineChars="200"/>
        <w:rPr>
          <w:rFonts w:ascii="仿宋" w:hAnsi="仿宋" w:eastAsia="仿宋"/>
          <w:bCs/>
          <w:color w:val="000000"/>
          <w:sz w:val="24"/>
        </w:rPr>
      </w:pPr>
      <w:bookmarkStart w:id="189" w:name="_Toc488068013"/>
      <w:bookmarkStart w:id="190" w:name="_Toc488067920"/>
      <w:r>
        <w:rPr>
          <w:rFonts w:hint="eastAsia" w:ascii="仿宋" w:hAnsi="仿宋" w:eastAsia="仿宋"/>
          <w:bCs/>
          <w:color w:val="000000"/>
          <w:sz w:val="24"/>
        </w:rPr>
        <w:t>1、合同生效及其效力应符合《中华人民共和国合同法》有关规定。</w:t>
      </w:r>
      <w:bookmarkEnd w:id="189"/>
      <w:bookmarkEnd w:id="190"/>
    </w:p>
    <w:p>
      <w:pPr>
        <w:snapToGrid w:val="0"/>
        <w:spacing w:line="380" w:lineRule="exact"/>
        <w:ind w:firstLine="480" w:firstLineChars="200"/>
        <w:rPr>
          <w:rFonts w:ascii="仿宋" w:hAnsi="仿宋" w:eastAsia="仿宋"/>
          <w:bCs/>
          <w:color w:val="000000"/>
          <w:sz w:val="24"/>
        </w:rPr>
      </w:pPr>
      <w:bookmarkStart w:id="191" w:name="_Toc488067921"/>
      <w:bookmarkStart w:id="192" w:name="_Toc488068014"/>
      <w:r>
        <w:rPr>
          <w:rFonts w:hint="eastAsia" w:ascii="仿宋" w:hAnsi="仿宋" w:eastAsia="仿宋"/>
          <w:bCs/>
          <w:color w:val="000000"/>
          <w:sz w:val="24"/>
        </w:rPr>
        <w:t>2、合同应经当事人法定代表人或委托代理人签字，加盖双方合同专用章或公章。</w:t>
      </w:r>
      <w:bookmarkEnd w:id="191"/>
      <w:bookmarkEnd w:id="192"/>
    </w:p>
    <w:p>
      <w:pPr>
        <w:snapToGrid w:val="0"/>
        <w:spacing w:line="380" w:lineRule="exact"/>
        <w:ind w:firstLine="480" w:firstLineChars="200"/>
        <w:rPr>
          <w:rFonts w:ascii="仿宋" w:hAnsi="仿宋" w:eastAsia="仿宋"/>
          <w:bCs/>
          <w:color w:val="000000"/>
          <w:sz w:val="24"/>
        </w:rPr>
      </w:pPr>
      <w:bookmarkStart w:id="193" w:name="_Toc488068015"/>
      <w:bookmarkStart w:id="194" w:name="_Toc488067922"/>
      <w:r>
        <w:rPr>
          <w:rFonts w:hint="eastAsia" w:ascii="仿宋" w:hAnsi="仿宋" w:eastAsia="仿宋"/>
          <w:bCs/>
          <w:color w:val="000000"/>
          <w:sz w:val="24"/>
        </w:rPr>
        <w:t>3、合同所包括附件，是合同不可分割的一部分，具有同等法法律效力。</w:t>
      </w:r>
      <w:bookmarkEnd w:id="193"/>
      <w:bookmarkEnd w:id="194"/>
    </w:p>
    <w:p>
      <w:pPr>
        <w:snapToGrid w:val="0"/>
        <w:spacing w:line="380" w:lineRule="exact"/>
        <w:ind w:firstLine="480" w:firstLineChars="200"/>
        <w:rPr>
          <w:rFonts w:ascii="仿宋" w:hAnsi="仿宋" w:eastAsia="仿宋"/>
          <w:bCs/>
          <w:color w:val="000000"/>
          <w:sz w:val="24"/>
        </w:rPr>
      </w:pPr>
      <w:bookmarkStart w:id="195" w:name="_Toc488067923"/>
      <w:bookmarkStart w:id="196" w:name="_Toc488068016"/>
      <w:r>
        <w:rPr>
          <w:rFonts w:hint="eastAsia" w:ascii="仿宋" w:hAnsi="仿宋" w:eastAsia="仿宋"/>
          <w:bCs/>
          <w:color w:val="000000"/>
          <w:sz w:val="24"/>
        </w:rPr>
        <w:t>4、合同需提供担保的，按《中华人民共和国担保法》规定执行。</w:t>
      </w:r>
      <w:bookmarkEnd w:id="195"/>
      <w:bookmarkEnd w:id="196"/>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5、本合同条件未尽事宜依照《中华人民共和国合同法》，由供需双方共同协商确定。</w:t>
      </w:r>
    </w:p>
    <w:p>
      <w:pPr>
        <w:snapToGrid w:val="0"/>
        <w:spacing w:line="380" w:lineRule="exact"/>
        <w:ind w:firstLine="482" w:firstLineChars="200"/>
        <w:rPr>
          <w:rFonts w:ascii="仿宋" w:hAnsi="仿宋" w:eastAsia="仿宋"/>
          <w:b/>
          <w:bCs/>
          <w:color w:val="000000"/>
          <w:sz w:val="24"/>
        </w:rPr>
      </w:pPr>
      <w:bookmarkStart w:id="197" w:name="_Toc148265480"/>
      <w:bookmarkStart w:id="198" w:name="_Toc303945820"/>
    </w:p>
    <w:p>
      <w:pPr>
        <w:pStyle w:val="2"/>
        <w:ind w:left="560" w:firstLine="880"/>
      </w:pPr>
    </w:p>
    <w:p>
      <w:pPr>
        <w:pStyle w:val="13"/>
      </w:pPr>
    </w:p>
    <w:p>
      <w:pPr>
        <w:snapToGrid w:val="0"/>
        <w:spacing w:line="380" w:lineRule="exact"/>
        <w:ind w:firstLine="480" w:firstLineChars="200"/>
        <w:rPr>
          <w:rFonts w:ascii="仿宋" w:hAnsi="仿宋" w:eastAsia="仿宋"/>
          <w:bCs/>
          <w:color w:val="000000"/>
          <w:sz w:val="24"/>
        </w:rPr>
      </w:pPr>
    </w:p>
    <w:p>
      <w:pPr>
        <w:pStyle w:val="2"/>
        <w:ind w:left="560" w:firstLine="880"/>
      </w:pPr>
    </w:p>
    <w:bookmarkEnd w:id="197"/>
    <w:bookmarkEnd w:id="198"/>
    <w:p>
      <w:pPr>
        <w:tabs>
          <w:tab w:val="left" w:pos="9000"/>
        </w:tabs>
        <w:spacing w:line="276" w:lineRule="auto"/>
        <w:rPr>
          <w:rFonts w:ascii="方正仿宋_GBK" w:eastAsia="方正仿宋_GBK"/>
          <w:color w:val="000000"/>
          <w:sz w:val="21"/>
          <w:szCs w:val="21"/>
        </w:rPr>
        <w:sectPr>
          <w:pgSz w:w="11907" w:h="16840"/>
          <w:pgMar w:top="1134" w:right="1191" w:bottom="1134" w:left="1304" w:header="964" w:footer="992" w:gutter="0"/>
          <w:pgNumType w:fmt="numberInDash"/>
          <w:cols w:space="720" w:num="1"/>
          <w:docGrid w:linePitch="312" w:charSpace="0"/>
        </w:sectPr>
      </w:pPr>
    </w:p>
    <w:p>
      <w:pPr>
        <w:rPr>
          <w:rFonts w:ascii="仿宋" w:hAnsi="仿宋" w:eastAsia="仿宋" w:cs="仿宋"/>
        </w:rPr>
      </w:pPr>
    </w:p>
    <w:bookmarkEnd w:id="1"/>
    <w:p>
      <w:pPr>
        <w:keepNext/>
        <w:keepLines/>
        <w:spacing w:after="200" w:line="360" w:lineRule="auto"/>
        <w:ind w:firstLine="723" w:firstLineChars="200"/>
        <w:jc w:val="center"/>
        <w:outlineLvl w:val="0"/>
        <w:rPr>
          <w:rFonts w:ascii="仿宋" w:hAnsi="仿宋" w:eastAsia="仿宋" w:cs="仿宋"/>
          <w:b/>
          <w:bCs/>
          <w:sz w:val="36"/>
          <w:szCs w:val="30"/>
        </w:rPr>
      </w:pPr>
      <w:bookmarkStart w:id="199" w:name="_Toc16972"/>
      <w:bookmarkStart w:id="200" w:name="_Toc80882095"/>
      <w:bookmarkStart w:id="201" w:name="_Toc485108795"/>
      <w:bookmarkStart w:id="202" w:name="_Toc4822"/>
      <w:bookmarkStart w:id="203" w:name="_Toc2978"/>
      <w:bookmarkStart w:id="204" w:name="_Toc27336"/>
      <w:bookmarkStart w:id="205" w:name="_Toc77262135"/>
      <w:bookmarkStart w:id="206" w:name="_Toc12637"/>
      <w:bookmarkStart w:id="207" w:name="_Toc26539"/>
      <w:bookmarkStart w:id="208" w:name="_Toc19706"/>
      <w:bookmarkStart w:id="209" w:name="_Toc71288799"/>
      <w:r>
        <w:rPr>
          <w:rFonts w:hint="eastAsia" w:ascii="仿宋" w:hAnsi="仿宋" w:eastAsia="仿宋" w:cs="仿宋"/>
          <w:b/>
          <w:bCs/>
          <w:sz w:val="36"/>
          <w:szCs w:val="30"/>
        </w:rPr>
        <w:t>第七篇  响应文件编制要求</w:t>
      </w:r>
      <w:bookmarkEnd w:id="199"/>
      <w:bookmarkEnd w:id="200"/>
      <w:bookmarkEnd w:id="201"/>
      <w:bookmarkEnd w:id="202"/>
      <w:bookmarkEnd w:id="203"/>
      <w:bookmarkEnd w:id="204"/>
      <w:bookmarkEnd w:id="205"/>
      <w:bookmarkEnd w:id="206"/>
      <w:bookmarkEnd w:id="207"/>
      <w:bookmarkEnd w:id="208"/>
      <w:bookmarkEnd w:id="209"/>
    </w:p>
    <w:p>
      <w:pPr>
        <w:keepNext/>
        <w:keepLines/>
        <w:spacing w:before="260" w:after="260"/>
        <w:outlineLvl w:val="1"/>
        <w:rPr>
          <w:rFonts w:ascii="仿宋" w:hAnsi="仿宋" w:eastAsia="仿宋" w:cs="宋体"/>
          <w:b/>
          <w:sz w:val="32"/>
          <w:szCs w:val="32"/>
        </w:rPr>
      </w:pPr>
      <w:bookmarkStart w:id="210" w:name="_Toc79151536"/>
      <w:bookmarkStart w:id="211" w:name="_Toc77262136"/>
      <w:bookmarkStart w:id="212" w:name="_Toc80882096"/>
      <w:r>
        <w:rPr>
          <w:rFonts w:hint="eastAsia" w:ascii="仿宋" w:hAnsi="仿宋" w:eastAsia="仿宋" w:cs="宋体"/>
          <w:b/>
          <w:sz w:val="32"/>
          <w:szCs w:val="32"/>
        </w:rPr>
        <w:t>响应文件格式要求（本篇所有格式要求将逐一检查，如一项不符，投标文件将被拒绝）</w:t>
      </w:r>
      <w:bookmarkEnd w:id="210"/>
      <w:bookmarkEnd w:id="211"/>
      <w:bookmarkEnd w:id="212"/>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一、响应文件编制、装订要求 </w:t>
      </w:r>
    </w:p>
    <w:p>
      <w:pPr>
        <w:spacing w:after="200"/>
        <w:ind w:firstLine="480" w:firstLineChars="200"/>
        <w:rPr>
          <w:rFonts w:ascii="仿宋" w:hAnsi="仿宋" w:eastAsia="仿宋" w:cs="宋体"/>
          <w:b/>
          <w:sz w:val="24"/>
          <w:szCs w:val="24"/>
          <w:u w:val="single"/>
        </w:rPr>
      </w:pPr>
      <w:r>
        <w:rPr>
          <w:rFonts w:hint="eastAsia" w:ascii="仿宋" w:hAnsi="仿宋" w:eastAsia="仿宋" w:cs="宋体"/>
          <w:sz w:val="24"/>
          <w:szCs w:val="24"/>
          <w:u w:val="single"/>
        </w:rPr>
        <w:t>1、</w:t>
      </w:r>
      <w:r>
        <w:rPr>
          <w:rFonts w:hint="eastAsia" w:ascii="仿宋" w:hAnsi="仿宋" w:eastAsia="仿宋" w:cs="宋体"/>
          <w:b/>
          <w:sz w:val="24"/>
          <w:szCs w:val="24"/>
          <w:u w:val="single"/>
        </w:rPr>
        <w:t>响应文件必须采用软面订本，必须编制完整的页码、目录，必须双面打印，否则投标文件将被拒绝。</w:t>
      </w:r>
    </w:p>
    <w:p>
      <w:pPr>
        <w:spacing w:after="200"/>
        <w:ind w:firstLine="480" w:firstLineChars="200"/>
        <w:rPr>
          <w:rFonts w:ascii="仿宋" w:hAnsi="仿宋" w:eastAsia="仿宋" w:cs="宋体"/>
          <w:b/>
          <w:color w:val="000000"/>
          <w:sz w:val="24"/>
          <w:szCs w:val="24"/>
        </w:rPr>
      </w:pPr>
      <w:r>
        <w:rPr>
          <w:rFonts w:hint="eastAsia" w:ascii="仿宋" w:hAnsi="仿宋" w:eastAsia="仿宋" w:cs="宋体"/>
          <w:color w:val="000000"/>
          <w:sz w:val="24"/>
          <w:szCs w:val="24"/>
        </w:rPr>
        <w:t>2、响应文件由第七篇“响应文件编制要求”规定格式的部分、竞争性磋商文件其他部分要求的响应和供应商所作的一切有效补充、修改和承诺等文件组成，</w:t>
      </w:r>
      <w:r>
        <w:rPr>
          <w:rFonts w:hint="eastAsia" w:ascii="仿宋" w:hAnsi="仿宋" w:eastAsia="仿宋" w:cs="宋体"/>
          <w:b/>
          <w:color w:val="000000"/>
          <w:sz w:val="24"/>
          <w:szCs w:val="24"/>
        </w:rPr>
        <w:t>供应商必须按照第七篇“响应文件编制要求”规定的目录顺序组织编写和装订响应文件</w:t>
      </w:r>
      <w:r>
        <w:rPr>
          <w:rFonts w:hint="eastAsia" w:ascii="仿宋" w:hAnsi="仿宋" w:eastAsia="仿宋" w:cs="宋体"/>
          <w:color w:val="000000"/>
          <w:sz w:val="24"/>
          <w:szCs w:val="24"/>
        </w:rPr>
        <w:t>，</w:t>
      </w:r>
      <w:r>
        <w:rPr>
          <w:rFonts w:hint="eastAsia" w:ascii="仿宋" w:hAnsi="仿宋" w:eastAsia="仿宋" w:cs="宋体"/>
          <w:b/>
          <w:color w:val="000000"/>
          <w:sz w:val="24"/>
          <w:szCs w:val="24"/>
        </w:rPr>
        <w:t>其中资格条件单独装订成本，其余部分（不含图纸）合订成一本。第七篇“响应文件编制要求”未规定格式的部分由供应商自定格式，装订在响应文件最后。</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二、提交响应文件的份数、密封与签署 </w:t>
      </w:r>
    </w:p>
    <w:p>
      <w:pPr>
        <w:tabs>
          <w:tab w:val="left" w:pos="0"/>
        </w:tabs>
        <w:spacing w:line="460" w:lineRule="exact"/>
        <w:ind w:firstLine="480" w:firstLineChars="200"/>
        <w:rPr>
          <w:rFonts w:ascii="仿宋" w:hAnsi="仿宋" w:eastAsia="仿宋"/>
          <w:sz w:val="24"/>
        </w:rPr>
      </w:pPr>
      <w:r>
        <w:rPr>
          <w:rFonts w:hint="eastAsia" w:ascii="仿宋" w:hAnsi="仿宋" w:eastAsia="仿宋" w:cs="宋体"/>
          <w:sz w:val="24"/>
          <w:szCs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after="200"/>
        <w:ind w:firstLine="480" w:firstLineChars="200"/>
        <w:rPr>
          <w:rFonts w:ascii="仿宋" w:hAnsi="仿宋" w:eastAsia="仿宋" w:cs="宋体"/>
          <w:sz w:val="24"/>
        </w:rPr>
      </w:pPr>
      <w:r>
        <w:rPr>
          <w:rFonts w:hint="eastAsia" w:ascii="仿宋" w:hAnsi="仿宋" w:eastAsia="仿宋" w:cs="宋体"/>
          <w:sz w:val="24"/>
          <w:szCs w:val="24"/>
        </w:rPr>
        <w:t>2、</w:t>
      </w:r>
      <w:r>
        <w:rPr>
          <w:rFonts w:hint="eastAsia" w:ascii="仿宋" w:hAnsi="仿宋" w:eastAsia="仿宋" w:cs="宋体"/>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3、响应文件的密封与标记</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响应文件的正本、副本均必须采用信封</w:t>
      </w:r>
      <w:r>
        <w:rPr>
          <w:rFonts w:hint="eastAsia" w:ascii="仿宋" w:hAnsi="仿宋" w:eastAsia="仿宋" w:cs="宋体"/>
          <w:b/>
          <w:sz w:val="24"/>
          <w:szCs w:val="24"/>
        </w:rPr>
        <w:t>分别</w:t>
      </w:r>
      <w:r>
        <w:rPr>
          <w:rFonts w:hint="eastAsia" w:ascii="仿宋" w:hAnsi="仿宋" w:eastAsia="仿宋" w:cs="宋体"/>
          <w:sz w:val="24"/>
          <w:szCs w:val="24"/>
        </w:rPr>
        <w:t>密封。信封上必须注明项目名称、供应商名称、“正本”、“副本”字样。信封的封口必须加盖供应商公章或法人授权代表签字。</w:t>
      </w:r>
    </w:p>
    <w:p>
      <w:pPr>
        <w:keepNext/>
        <w:keepLines/>
        <w:spacing w:before="260" w:after="260"/>
        <w:outlineLvl w:val="1"/>
        <w:rPr>
          <w:rFonts w:ascii="仿宋" w:hAnsi="仿宋" w:eastAsia="仿宋" w:cs="宋体"/>
          <w:b/>
          <w:sz w:val="32"/>
          <w:szCs w:val="32"/>
        </w:rPr>
      </w:pPr>
      <w:bookmarkStart w:id="213" w:name="_Toc77262137"/>
      <w:bookmarkStart w:id="214" w:name="_Toc80882097"/>
      <w:r>
        <w:rPr>
          <w:rFonts w:hint="eastAsia" w:ascii="仿宋" w:hAnsi="仿宋" w:eastAsia="仿宋" w:cs="宋体"/>
          <w:b/>
          <w:sz w:val="32"/>
          <w:szCs w:val="32"/>
        </w:rPr>
        <w:t>响应文件规定格式部分</w:t>
      </w:r>
      <w:bookmarkEnd w:id="213"/>
      <w:bookmarkEnd w:id="214"/>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一、经济部分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二、技术部分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（一）技术响应偏离</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三、服务部分</w:t>
      </w:r>
    </w:p>
    <w:p>
      <w:pPr>
        <w:spacing w:line="440" w:lineRule="exact"/>
        <w:ind w:firstLine="480" w:firstLineChars="200"/>
        <w:rPr>
          <w:rFonts w:ascii="仿宋" w:hAnsi="仿宋" w:eastAsia="仿宋" w:cs="仿宋"/>
          <w:sz w:val="24"/>
          <w:szCs w:val="24"/>
        </w:rPr>
      </w:pPr>
      <w:bookmarkStart w:id="215" w:name="OLE_LINK10"/>
      <w:bookmarkStart w:id="216" w:name="OLE_LINK11"/>
      <w:r>
        <w:rPr>
          <w:rFonts w:hint="eastAsia" w:ascii="仿宋" w:hAnsi="仿宋" w:eastAsia="仿宋" w:cs="仿宋"/>
          <w:sz w:val="24"/>
          <w:szCs w:val="24"/>
        </w:rPr>
        <w:t>（一）服务响应偏离表</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（三）其它优惠承诺</w:t>
      </w:r>
    </w:p>
    <w:p>
      <w:pPr>
        <w:spacing w:line="440" w:lineRule="exact"/>
        <w:ind w:firstLine="482" w:firstLineChars="200"/>
        <w:rPr>
          <w:rFonts w:ascii="仿宋" w:hAnsi="仿宋" w:eastAsia="仿宋" w:cs="仿宋"/>
          <w:sz w:val="24"/>
          <w:szCs w:val="24"/>
        </w:rPr>
      </w:pPr>
      <w:r>
        <w:rPr>
          <w:rFonts w:hint="eastAsia" w:ascii="仿宋" w:hAnsi="仿宋" w:eastAsia="仿宋" w:cs="仿宋"/>
          <w:b/>
          <w:bCs/>
          <w:sz w:val="24"/>
          <w:szCs w:val="24"/>
        </w:rPr>
        <w:t>四、资格条件 (单独装订)</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（二）税务登记证复印件。说明：“多证合一”登记制度办理营业执照的，组织机构代码证、税务登记证（副本）和社会保险登记证以供应商所提供的营业执照（副本）复印件为准。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（四）法定代表人授权委托书（格式）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w:t>
      </w:r>
      <w:r>
        <w:rPr>
          <w:rFonts w:hint="eastAsia" w:ascii="仿宋" w:hAnsi="仿宋" w:eastAsia="仿宋" w:cs="宋体"/>
          <w:sz w:val="24"/>
          <w:szCs w:val="24"/>
        </w:rPr>
        <w:t>或其基本开户银行出具的资信证明（提供复印件）或审计报告复印件</w:t>
      </w: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（七）</w:t>
      </w:r>
      <w:r>
        <w:rPr>
          <w:rFonts w:hint="eastAsia" w:ascii="仿宋" w:hAnsi="仿宋" w:eastAsia="仿宋" w:cs="宋体"/>
          <w:sz w:val="24"/>
          <w:szCs w:val="24"/>
        </w:rPr>
        <w:t>2021年1-6月</w:t>
      </w:r>
      <w:r>
        <w:rPr>
          <w:rFonts w:hint="eastAsia" w:ascii="仿宋" w:hAnsi="仿宋" w:eastAsia="仿宋" w:cs="仿宋"/>
          <w:sz w:val="24"/>
          <w:szCs w:val="24"/>
        </w:rPr>
        <w:t>社会保险缴纳证明材料</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说明：投标人按“五证合一”登记制度办理营业执照的，组织机构代码证、税务登记证（副本）和社会保险登记证以投标人所提供的法人营业执照（副本）复印件为准。</w:t>
      </w:r>
    </w:p>
    <w:p>
      <w:pPr>
        <w:spacing w:line="440" w:lineRule="exact"/>
        <w:ind w:firstLine="482" w:firstLineChars="200"/>
        <w:rPr>
          <w:rFonts w:ascii="仿宋" w:hAnsi="仿宋" w:eastAsia="仿宋" w:cs="仿宋"/>
          <w:b/>
          <w:bCs/>
          <w:sz w:val="24"/>
          <w:szCs w:val="24"/>
        </w:rPr>
      </w:pP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五、其他应提供的资料</w:t>
      </w:r>
    </w:p>
    <w:bookmarkEnd w:id="215"/>
    <w:bookmarkEnd w:id="216"/>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（一）中小微企业声明函、监狱企业证明文件、残疾人福利性单位声明函。（非小微企业不提供）</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（二）联合体共同联合协议（如果有）</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（三）其他资料</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napToGrid w:val="0"/>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2.</w:t>
      </w:r>
      <w:r>
        <w:rPr>
          <w:rFonts w:hint="eastAsia" w:ascii="仿宋" w:hAnsi="仿宋" w:eastAsia="仿宋" w:cs="仿宋"/>
          <w:b/>
          <w:bCs/>
          <w:sz w:val="24"/>
          <w:szCs w:val="24"/>
        </w:rPr>
        <w:t>竞争性磋商文件要求提供的其他资料</w:t>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after="200" w:line="360" w:lineRule="auto"/>
        <w:ind w:firstLine="562" w:firstLineChars="200"/>
        <w:outlineLvl w:val="1"/>
        <w:rPr>
          <w:rFonts w:ascii="仿宋" w:hAnsi="仿宋" w:eastAsia="仿宋" w:cs="仿宋"/>
          <w:b/>
          <w:szCs w:val="28"/>
        </w:rPr>
      </w:pPr>
      <w:bookmarkStart w:id="217" w:name="_Toc77262138"/>
      <w:bookmarkStart w:id="218" w:name="_Toc485108796"/>
      <w:bookmarkStart w:id="219" w:name="_Toc5702"/>
      <w:bookmarkStart w:id="220" w:name="_Toc480979018"/>
      <w:bookmarkStart w:id="221" w:name="_Toc80882098"/>
      <w:bookmarkStart w:id="222" w:name="_Toc27902"/>
      <w:bookmarkStart w:id="223" w:name="_Toc20949"/>
      <w:bookmarkStart w:id="224" w:name="_Toc71288800"/>
      <w:bookmarkStart w:id="225" w:name="_Toc29031"/>
      <w:bookmarkStart w:id="226" w:name="_Toc29097"/>
      <w:bookmarkStart w:id="227" w:name="_Toc20878"/>
      <w:bookmarkStart w:id="228" w:name="_Toc31434"/>
      <w:r>
        <w:rPr>
          <w:rFonts w:hint="eastAsia" w:ascii="仿宋" w:hAnsi="仿宋" w:eastAsia="仿宋" w:cs="仿宋"/>
          <w:b/>
          <w:szCs w:val="28"/>
        </w:rPr>
        <w:t>一、经济部分</w:t>
      </w:r>
      <w:bookmarkEnd w:id="217"/>
      <w:bookmarkEnd w:id="218"/>
      <w:bookmarkEnd w:id="219"/>
      <w:bookmarkEnd w:id="220"/>
      <w:bookmarkEnd w:id="221"/>
      <w:bookmarkEnd w:id="222"/>
      <w:bookmarkEnd w:id="223"/>
      <w:bookmarkEnd w:id="224"/>
      <w:bookmarkEnd w:id="225"/>
      <w:bookmarkEnd w:id="226"/>
      <w:bookmarkEnd w:id="227"/>
      <w:bookmarkEnd w:id="228"/>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tabs>
          <w:tab w:val="left" w:pos="6300"/>
        </w:tabs>
        <w:snapToGrid w:val="0"/>
        <w:spacing w:line="480" w:lineRule="exact"/>
        <w:ind w:firstLine="562" w:firstLineChars="200"/>
        <w:jc w:val="center"/>
        <w:rPr>
          <w:rFonts w:ascii="仿宋" w:hAnsi="仿宋" w:eastAsia="仿宋" w:cs="仿宋"/>
          <w:b/>
          <w:szCs w:val="28"/>
        </w:rPr>
      </w:pPr>
      <w:bookmarkStart w:id="229" w:name="_Toc10456"/>
      <w:bookmarkStart w:id="230" w:name="_Toc30366"/>
      <w:bookmarkStart w:id="231" w:name="_Toc22467"/>
      <w:bookmarkStart w:id="232" w:name="_Toc26623"/>
      <w:r>
        <w:rPr>
          <w:rFonts w:hint="eastAsia" w:ascii="仿宋" w:hAnsi="仿宋" w:eastAsia="仿宋" w:cs="仿宋"/>
          <w:b/>
          <w:szCs w:val="28"/>
        </w:rPr>
        <w:t>磋商报价函</w:t>
      </w:r>
      <w:bookmarkEnd w:id="229"/>
      <w:bookmarkEnd w:id="230"/>
      <w:bookmarkEnd w:id="231"/>
      <w:bookmarkEnd w:id="232"/>
    </w:p>
    <w:p>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u w:val="single"/>
        </w:rPr>
        <w:t>（采购人名称）</w:t>
      </w:r>
      <w:r>
        <w:rPr>
          <w:rFonts w:hint="eastAsia" w:ascii="仿宋" w:hAnsi="仿宋" w:eastAsia="仿宋" w:cs="仿宋"/>
          <w:sz w:val="24"/>
          <w:szCs w:val="24"/>
        </w:rPr>
        <w:t>：</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我方收到____________________________（磋商项目名称）的竞争性磋商采购文件，经详细研究，决定参加该磋商项目的竞争磋商。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1、愿意按照竞争性磋商文件中的一切要求，提供本项目的交货及技术服务，项目初始报价（总价）为人民币大写：元整；人民币小写：元。以我公司最后报价为准。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2、我方现提交的响应文件为：响应文件正本份，副本份。</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3、我方承诺：本次磋商的有效期为90天。</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4、我方完全理解和接受贵方磋商采购文件的一切规定和要求及磋商评审办法。</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5、在整个磋商过程中，我方若有违规行为，接受按照《中华人民共和国政府采购法》和《竞争性磋商文件》之规定给予惩罚。</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6、我方若成为成交供应商，将按照最终磋商结果签订合同，并且严格履行合同义务。本承诺函将成为合同不可分割的一部分，与合同具有同等的法律效力。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8、我方未为采购项目提供整体设计、规范编制或者项目管理、监理、监测等服务。</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供应商（公章）：</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地址：  </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电话：                           传真：</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网址：                           邮编：</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联系人：</w:t>
      </w:r>
    </w:p>
    <w:p>
      <w:pPr>
        <w:snapToGrid w:val="0"/>
        <w:spacing w:line="360" w:lineRule="auto"/>
        <w:ind w:firstLine="480" w:firstLineChars="200"/>
        <w:rPr>
          <w:rFonts w:ascii="仿宋" w:hAnsi="仿宋" w:eastAsia="仿宋" w:cs="仿宋"/>
          <w:sz w:val="24"/>
          <w:szCs w:val="24"/>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 xml:space="preserve">                               年   月   日</w:t>
      </w:r>
    </w:p>
    <w:p>
      <w:pPr>
        <w:tabs>
          <w:tab w:val="left" w:pos="2895"/>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ind w:firstLine="562" w:firstLineChars="200"/>
        <w:jc w:val="center"/>
        <w:rPr>
          <w:rFonts w:ascii="仿宋" w:hAnsi="仿宋" w:eastAsia="仿宋" w:cs="仿宋"/>
          <w:b/>
          <w:szCs w:val="28"/>
        </w:rPr>
      </w:pPr>
      <w:r>
        <w:rPr>
          <w:rFonts w:hint="eastAsia" w:ascii="仿宋" w:hAnsi="仿宋" w:eastAsia="仿宋" w:cs="仿宋"/>
          <w:b/>
          <w:szCs w:val="28"/>
        </w:rPr>
        <w:t>明细报价表</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项目名称：</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项目编号：</w:t>
      </w:r>
    </w:p>
    <w:tbl>
      <w:tblPr>
        <w:tblStyle w:val="15"/>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96"/>
        <w:gridCol w:w="1258"/>
        <w:gridCol w:w="1435"/>
        <w:gridCol w:w="851"/>
        <w:gridCol w:w="992"/>
        <w:gridCol w:w="1295"/>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11" w:type="dxa"/>
            <w:vAlign w:val="center"/>
          </w:tcPr>
          <w:p>
            <w:pPr>
              <w:jc w:val="center"/>
              <w:rPr>
                <w:rFonts w:ascii="仿宋" w:hAnsi="仿宋" w:eastAsia="仿宋" w:cs="仿宋"/>
                <w:sz w:val="24"/>
                <w:szCs w:val="24"/>
              </w:rPr>
            </w:pPr>
            <w:r>
              <w:rPr>
                <w:rFonts w:hint="eastAsia" w:ascii="仿宋" w:hAnsi="仿宋" w:eastAsia="仿宋" w:cs="仿宋"/>
              </w:rPr>
              <w:t>序号</w:t>
            </w:r>
          </w:p>
        </w:tc>
        <w:tc>
          <w:tcPr>
            <w:tcW w:w="1196" w:type="dxa"/>
            <w:vAlign w:val="center"/>
          </w:tcPr>
          <w:p>
            <w:pPr>
              <w:jc w:val="center"/>
              <w:rPr>
                <w:rFonts w:ascii="仿宋" w:hAnsi="仿宋" w:eastAsia="仿宋" w:cs="仿宋"/>
                <w:sz w:val="24"/>
                <w:szCs w:val="24"/>
              </w:rPr>
            </w:pPr>
            <w:r>
              <w:rPr>
                <w:rFonts w:hint="eastAsia" w:ascii="仿宋" w:hAnsi="仿宋" w:eastAsia="仿宋" w:cs="仿宋"/>
              </w:rPr>
              <w:t>产品名称</w:t>
            </w:r>
          </w:p>
        </w:tc>
        <w:tc>
          <w:tcPr>
            <w:tcW w:w="1258" w:type="dxa"/>
            <w:vAlign w:val="center"/>
          </w:tcPr>
          <w:p>
            <w:pPr>
              <w:jc w:val="center"/>
              <w:rPr>
                <w:rFonts w:ascii="仿宋" w:hAnsi="仿宋" w:eastAsia="仿宋" w:cs="仿宋"/>
              </w:rPr>
            </w:pPr>
            <w:r>
              <w:rPr>
                <w:rFonts w:hint="eastAsia" w:ascii="仿宋" w:hAnsi="仿宋" w:eastAsia="仿宋" w:cs="仿宋"/>
                <w:kern w:val="0"/>
                <w:szCs w:val="21"/>
              </w:rPr>
              <w:t>品牌及产地</w:t>
            </w:r>
          </w:p>
        </w:tc>
        <w:tc>
          <w:tcPr>
            <w:tcW w:w="1435" w:type="dxa"/>
            <w:vAlign w:val="center"/>
          </w:tcPr>
          <w:p>
            <w:pPr>
              <w:jc w:val="center"/>
              <w:rPr>
                <w:rFonts w:ascii="仿宋" w:hAnsi="仿宋" w:eastAsia="仿宋" w:cs="仿宋"/>
              </w:rPr>
            </w:pPr>
            <w:r>
              <w:rPr>
                <w:rFonts w:hint="eastAsia" w:ascii="仿宋" w:hAnsi="仿宋" w:eastAsia="仿宋" w:cs="仿宋"/>
              </w:rPr>
              <w:t>制造商名称</w:t>
            </w:r>
          </w:p>
        </w:tc>
        <w:tc>
          <w:tcPr>
            <w:tcW w:w="851" w:type="dxa"/>
            <w:vAlign w:val="center"/>
          </w:tcPr>
          <w:p>
            <w:pPr>
              <w:jc w:val="center"/>
              <w:rPr>
                <w:rFonts w:ascii="仿宋" w:hAnsi="仿宋" w:eastAsia="仿宋" w:cs="仿宋"/>
              </w:rPr>
            </w:pPr>
            <w:r>
              <w:rPr>
                <w:rFonts w:hint="eastAsia" w:ascii="仿宋" w:hAnsi="仿宋" w:eastAsia="仿宋" w:cs="仿宋"/>
              </w:rPr>
              <w:t>规格型号</w:t>
            </w:r>
          </w:p>
        </w:tc>
        <w:tc>
          <w:tcPr>
            <w:tcW w:w="992" w:type="dxa"/>
            <w:vAlign w:val="center"/>
          </w:tcPr>
          <w:p>
            <w:pPr>
              <w:jc w:val="center"/>
              <w:rPr>
                <w:rFonts w:ascii="仿宋" w:hAnsi="仿宋" w:eastAsia="仿宋" w:cs="仿宋"/>
                <w:sz w:val="24"/>
                <w:szCs w:val="24"/>
              </w:rPr>
            </w:pPr>
            <w:r>
              <w:rPr>
                <w:rFonts w:hint="eastAsia" w:ascii="仿宋" w:hAnsi="仿宋" w:eastAsia="仿宋" w:cs="仿宋"/>
              </w:rPr>
              <w:t>数量</w:t>
            </w:r>
          </w:p>
        </w:tc>
        <w:tc>
          <w:tcPr>
            <w:tcW w:w="1295" w:type="dxa"/>
            <w:vAlign w:val="center"/>
          </w:tcPr>
          <w:p>
            <w:pPr>
              <w:jc w:val="center"/>
              <w:rPr>
                <w:rFonts w:ascii="仿宋" w:hAnsi="仿宋" w:eastAsia="仿宋" w:cs="仿宋"/>
              </w:rPr>
            </w:pPr>
            <w:r>
              <w:rPr>
                <w:rFonts w:hint="eastAsia" w:ascii="仿宋" w:hAnsi="仿宋" w:eastAsia="仿宋" w:cs="仿宋"/>
              </w:rPr>
              <w:t>单价</w:t>
            </w:r>
          </w:p>
          <w:p>
            <w:pPr>
              <w:jc w:val="center"/>
              <w:rPr>
                <w:rFonts w:ascii="仿宋" w:hAnsi="仿宋" w:eastAsia="仿宋" w:cs="仿宋"/>
                <w:sz w:val="24"/>
                <w:szCs w:val="24"/>
              </w:rPr>
            </w:pPr>
            <w:r>
              <w:rPr>
                <w:rFonts w:hint="eastAsia" w:ascii="仿宋" w:hAnsi="仿宋" w:eastAsia="仿宋" w:cs="仿宋"/>
              </w:rPr>
              <w:t>(元）</w:t>
            </w:r>
          </w:p>
        </w:tc>
        <w:tc>
          <w:tcPr>
            <w:tcW w:w="1417" w:type="dxa"/>
            <w:vAlign w:val="center"/>
          </w:tcPr>
          <w:p>
            <w:pPr>
              <w:jc w:val="center"/>
              <w:rPr>
                <w:rFonts w:ascii="仿宋" w:hAnsi="仿宋" w:eastAsia="仿宋" w:cs="仿宋"/>
              </w:rPr>
            </w:pPr>
            <w:r>
              <w:rPr>
                <w:rFonts w:hint="eastAsia" w:ascii="仿宋" w:hAnsi="仿宋" w:eastAsia="仿宋" w:cs="仿宋"/>
              </w:rPr>
              <w:t>合计</w:t>
            </w:r>
          </w:p>
          <w:p>
            <w:pPr>
              <w:jc w:val="center"/>
              <w:rPr>
                <w:rFonts w:ascii="仿宋" w:hAnsi="仿宋" w:eastAsia="仿宋" w:cs="仿宋"/>
                <w:sz w:val="24"/>
                <w:szCs w:val="24"/>
              </w:rPr>
            </w:pPr>
            <w:r>
              <w:rPr>
                <w:rFonts w:hint="eastAsia" w:ascii="仿宋" w:hAnsi="仿宋" w:eastAsia="仿宋" w:cs="仿宋"/>
              </w:rPr>
              <w:t>(元）</w:t>
            </w:r>
          </w:p>
        </w:tc>
        <w:tc>
          <w:tcPr>
            <w:tcW w:w="1134" w:type="dxa"/>
            <w:vAlign w:val="center"/>
          </w:tcPr>
          <w:p>
            <w:pPr>
              <w:jc w:val="center"/>
              <w:rPr>
                <w:rFonts w:ascii="仿宋" w:hAnsi="仿宋" w:eastAsia="仿宋" w:cs="仿宋"/>
                <w:sz w:val="24"/>
                <w:szCs w:val="24"/>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1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11" w:type="dxa"/>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11"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96"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58"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35"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95"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17"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34"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r>
    </w:tbl>
    <w:p>
      <w:pPr>
        <w:snapToGrid w:val="0"/>
        <w:spacing w:line="500" w:lineRule="exact"/>
        <w:ind w:firstLine="480" w:firstLineChars="200"/>
        <w:rPr>
          <w:rFonts w:ascii="仿宋" w:hAnsi="仿宋" w:eastAsia="仿宋" w:cs="仿宋"/>
          <w:sz w:val="24"/>
          <w:szCs w:val="28"/>
        </w:rPr>
      </w:pP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注：1、请供应商根据项目采购需求完整填写本表，仔细核对总价和明细报价合计是否相符。</w:t>
      </w:r>
    </w:p>
    <w:p>
      <w:pPr>
        <w:snapToGrid w:val="0"/>
        <w:spacing w:line="500" w:lineRule="exact"/>
        <w:ind w:firstLine="954" w:firstLineChars="396"/>
        <w:rPr>
          <w:rFonts w:ascii="仿宋" w:hAnsi="仿宋" w:eastAsia="仿宋" w:cs="仿宋"/>
          <w:b/>
          <w:sz w:val="24"/>
          <w:szCs w:val="28"/>
        </w:rPr>
      </w:pPr>
      <w:r>
        <w:rPr>
          <w:rFonts w:hint="eastAsia" w:ascii="仿宋" w:hAnsi="仿宋" w:eastAsia="仿宋" w:cs="仿宋"/>
          <w:b/>
          <w:sz w:val="24"/>
          <w:szCs w:val="28"/>
        </w:rPr>
        <w:t>2、本表除备注外均必须填写 ，否则投标无效。</w:t>
      </w: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 xml:space="preserve">    3、</w:t>
      </w:r>
      <w:bookmarkStart w:id="233" w:name="OLE_LINK2"/>
      <w:bookmarkStart w:id="234" w:name="OLE_LINK1"/>
      <w:r>
        <w:rPr>
          <w:rFonts w:hint="eastAsia" w:ascii="仿宋" w:hAnsi="仿宋" w:eastAsia="仿宋" w:cs="仿宋"/>
          <w:b/>
          <w:sz w:val="24"/>
          <w:szCs w:val="28"/>
        </w:rPr>
        <w:t>本表必须逐页签字或盖章，否则投标无效。</w:t>
      </w:r>
      <w:bookmarkEnd w:id="233"/>
      <w:bookmarkEnd w:id="234"/>
    </w:p>
    <w:p>
      <w:pPr>
        <w:spacing w:after="200" w:line="360" w:lineRule="auto"/>
        <w:ind w:firstLine="480" w:firstLineChars="200"/>
        <w:jc w:val="center"/>
        <w:rPr>
          <w:rFonts w:ascii="仿宋" w:hAnsi="仿宋" w:eastAsia="仿宋" w:cs="仿宋"/>
          <w:sz w:val="24"/>
          <w:szCs w:val="24"/>
        </w:rPr>
      </w:pPr>
    </w:p>
    <w:p>
      <w:pPr>
        <w:spacing w:after="200" w:line="360" w:lineRule="auto"/>
        <w:ind w:firstLine="480" w:firstLineChars="200"/>
        <w:jc w:val="center"/>
        <w:rPr>
          <w:rFonts w:ascii="仿宋" w:hAnsi="仿宋" w:eastAsia="仿宋" w:cs="仿宋"/>
          <w:sz w:val="24"/>
          <w:szCs w:val="24"/>
        </w:rPr>
      </w:pPr>
    </w:p>
    <w:p>
      <w:pPr>
        <w:spacing w:line="360" w:lineRule="auto"/>
        <w:ind w:firstLine="480" w:firstLineChars="200"/>
        <w:rPr>
          <w:rFonts w:ascii="仿宋" w:hAnsi="仿宋" w:eastAsia="仿宋" w:cs="仿宋"/>
        </w:rPr>
      </w:pPr>
      <w:r>
        <w:rPr>
          <w:rFonts w:hint="eastAsia" w:ascii="仿宋" w:hAnsi="仿宋" w:eastAsia="仿宋" w:cs="仿宋"/>
          <w:sz w:val="24"/>
          <w:szCs w:val="24"/>
        </w:rPr>
        <w:t xml:space="preserve">                                           供应商名称（公章）：</w:t>
      </w: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r>
        <w:rPr>
          <w:rFonts w:hint="eastAsia" w:ascii="仿宋" w:hAnsi="仿宋" w:eastAsia="仿宋" w:cs="仿宋"/>
          <w:sz w:val="24"/>
          <w:szCs w:val="24"/>
        </w:rPr>
        <w:t>年     月    日</w:t>
      </w:r>
    </w:p>
    <w:p>
      <w:pPr>
        <w:snapToGrid w:val="0"/>
        <w:spacing w:line="360" w:lineRule="auto"/>
        <w:ind w:firstLine="480" w:firstLineChars="200"/>
        <w:rPr>
          <w:rFonts w:ascii="仿宋" w:hAnsi="仿宋" w:eastAsia="仿宋" w:cs="仿宋"/>
          <w:sz w:val="24"/>
          <w:szCs w:val="24"/>
          <w:bdr w:val="single" w:color="auto" w:sz="4" w:space="0"/>
        </w:rPr>
        <w:sectPr>
          <w:headerReference r:id="rId5" w:type="default"/>
          <w:pgSz w:w="11907" w:h="16840"/>
          <w:pgMar w:top="1134" w:right="1191" w:bottom="1134" w:left="1304" w:header="851" w:footer="992" w:gutter="0"/>
          <w:pgNumType w:fmt="numberInDash"/>
          <w:cols w:space="720" w:num="1"/>
          <w:docGrid w:linePitch="380" w:charSpace="-5735"/>
        </w:sectPr>
      </w:pPr>
    </w:p>
    <w:p>
      <w:pPr>
        <w:keepNext/>
        <w:keepLines/>
        <w:spacing w:before="260" w:after="260" w:line="413" w:lineRule="auto"/>
        <w:outlineLvl w:val="1"/>
        <w:rPr>
          <w:rFonts w:ascii="仿宋" w:hAnsi="仿宋" w:eastAsia="仿宋" w:cs="仿宋"/>
          <w:b/>
          <w:bCs/>
          <w:kern w:val="0"/>
          <w:szCs w:val="28"/>
        </w:rPr>
      </w:pPr>
      <w:bookmarkStart w:id="235" w:name="_Toc1095"/>
      <w:bookmarkStart w:id="236" w:name="_Toc485108797"/>
      <w:bookmarkStart w:id="237" w:name="_Toc71288801"/>
      <w:bookmarkStart w:id="238" w:name="_Toc30943"/>
      <w:bookmarkStart w:id="239" w:name="_Toc11405"/>
      <w:bookmarkStart w:id="240" w:name="_Toc4732"/>
      <w:bookmarkStart w:id="241" w:name="_Toc313888361"/>
      <w:bookmarkStart w:id="242" w:name="_Toc313008357"/>
      <w:bookmarkStart w:id="243" w:name="_Toc25684"/>
      <w:bookmarkStart w:id="244" w:name="_Toc14438"/>
      <w:bookmarkStart w:id="245" w:name="_Toc12212"/>
      <w:bookmarkStart w:id="246" w:name="_Toc342913420"/>
      <w:bookmarkStart w:id="247" w:name="_Toc77262139"/>
      <w:bookmarkStart w:id="248" w:name="_Toc480979019"/>
      <w:bookmarkStart w:id="249" w:name="_Toc80882099"/>
      <w:r>
        <w:rPr>
          <w:rFonts w:hint="eastAsia" w:ascii="仿宋" w:hAnsi="仿宋" w:eastAsia="仿宋" w:cs="仿宋"/>
          <w:b/>
          <w:bCs/>
          <w:kern w:val="0"/>
          <w:szCs w:val="28"/>
        </w:rPr>
        <w:t>二、技术部分</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spacing w:after="200" w:line="276" w:lineRule="auto"/>
        <w:rPr>
          <w:rFonts w:ascii="仿宋" w:hAnsi="仿宋" w:eastAsia="仿宋" w:cs="仿宋"/>
          <w:bCs/>
          <w:kern w:val="0"/>
          <w:szCs w:val="28"/>
        </w:rPr>
      </w:pPr>
      <w:r>
        <w:rPr>
          <w:rFonts w:hint="eastAsia" w:ascii="仿宋" w:hAnsi="仿宋" w:eastAsia="仿宋" w:cs="仿宋"/>
          <w:sz w:val="24"/>
          <w:szCs w:val="24"/>
        </w:rPr>
        <w:t>（一）技术响应偏离表</w:t>
      </w:r>
    </w:p>
    <w:p>
      <w:pPr>
        <w:spacing w:after="200" w:line="276" w:lineRule="auto"/>
        <w:rPr>
          <w:rFonts w:ascii="仿宋" w:hAnsi="仿宋" w:eastAsia="仿宋" w:cs="仿宋"/>
          <w:sz w:val="24"/>
        </w:rPr>
      </w:pPr>
      <w:bookmarkStart w:id="250" w:name="_Toc20262"/>
      <w:r>
        <w:rPr>
          <w:rFonts w:hint="eastAsia" w:ascii="仿宋" w:hAnsi="仿宋" w:eastAsia="仿宋" w:cs="仿宋"/>
          <w:sz w:val="24"/>
        </w:rPr>
        <w:t>项目名称：</w:t>
      </w:r>
      <w:bookmarkEnd w:id="250"/>
    </w:p>
    <w:p>
      <w:pPr>
        <w:spacing w:after="200" w:line="276" w:lineRule="auto"/>
        <w:rPr>
          <w:rFonts w:ascii="仿宋" w:hAnsi="仿宋" w:eastAsia="仿宋" w:cs="仿宋"/>
          <w:sz w:val="24"/>
          <w:szCs w:val="24"/>
          <w:u w:val="single"/>
        </w:rPr>
      </w:pPr>
      <w:r>
        <w:rPr>
          <w:rFonts w:hint="eastAsia" w:ascii="仿宋" w:hAnsi="仿宋" w:eastAsia="仿宋" w:cs="仿宋"/>
          <w:sz w:val="24"/>
          <w:szCs w:val="24"/>
        </w:rPr>
        <w:t>项目编号：</w:t>
      </w:r>
    </w:p>
    <w:tbl>
      <w:tblPr>
        <w:tblStyle w:val="15"/>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spacing w:after="200" w:line="276" w:lineRule="auto"/>
              <w:rPr>
                <w:rFonts w:ascii="仿宋" w:hAnsi="仿宋" w:eastAsia="仿宋" w:cs="仿宋"/>
                <w:sz w:val="21"/>
                <w:szCs w:val="21"/>
              </w:rPr>
            </w:pPr>
            <w:bookmarkStart w:id="251" w:name="_Toc27031"/>
            <w:r>
              <w:rPr>
                <w:rFonts w:hint="eastAsia" w:ascii="仿宋" w:hAnsi="仿宋" w:eastAsia="仿宋" w:cs="仿宋"/>
                <w:sz w:val="21"/>
                <w:szCs w:val="21"/>
              </w:rPr>
              <w:t>序号</w:t>
            </w:r>
            <w:bookmarkEnd w:id="251"/>
          </w:p>
        </w:tc>
        <w:tc>
          <w:tcPr>
            <w:tcW w:w="2658" w:type="dxa"/>
            <w:vAlign w:val="center"/>
          </w:tcPr>
          <w:p>
            <w:pPr>
              <w:spacing w:after="200" w:line="276" w:lineRule="auto"/>
              <w:rPr>
                <w:rFonts w:ascii="仿宋" w:hAnsi="仿宋" w:eastAsia="仿宋" w:cs="仿宋"/>
                <w:sz w:val="21"/>
                <w:szCs w:val="21"/>
              </w:rPr>
            </w:pPr>
            <w:bookmarkStart w:id="252" w:name="_Toc9252"/>
            <w:r>
              <w:rPr>
                <w:rFonts w:hint="eastAsia" w:ascii="仿宋" w:hAnsi="仿宋" w:eastAsia="仿宋" w:cs="仿宋"/>
                <w:sz w:val="21"/>
                <w:szCs w:val="21"/>
              </w:rPr>
              <w:t>采购需求</w:t>
            </w:r>
            <w:bookmarkEnd w:id="252"/>
          </w:p>
        </w:tc>
        <w:tc>
          <w:tcPr>
            <w:tcW w:w="2759" w:type="dxa"/>
            <w:vAlign w:val="center"/>
          </w:tcPr>
          <w:p>
            <w:pPr>
              <w:spacing w:after="200" w:line="276" w:lineRule="auto"/>
              <w:rPr>
                <w:rFonts w:ascii="仿宋" w:hAnsi="仿宋" w:eastAsia="仿宋" w:cs="仿宋"/>
                <w:sz w:val="21"/>
                <w:szCs w:val="21"/>
              </w:rPr>
            </w:pPr>
            <w:bookmarkStart w:id="253" w:name="_Toc9492"/>
            <w:r>
              <w:rPr>
                <w:rFonts w:hint="eastAsia" w:ascii="仿宋" w:hAnsi="仿宋" w:eastAsia="仿宋" w:cs="仿宋"/>
                <w:sz w:val="21"/>
                <w:szCs w:val="21"/>
              </w:rPr>
              <w:t>响应情况</w:t>
            </w:r>
            <w:bookmarkEnd w:id="253"/>
          </w:p>
        </w:tc>
        <w:tc>
          <w:tcPr>
            <w:tcW w:w="2067" w:type="dxa"/>
            <w:vAlign w:val="center"/>
          </w:tcPr>
          <w:p>
            <w:pPr>
              <w:spacing w:after="200" w:line="276" w:lineRule="auto"/>
              <w:rPr>
                <w:rFonts w:ascii="仿宋" w:hAnsi="仿宋" w:eastAsia="仿宋" w:cs="仿宋"/>
                <w:sz w:val="21"/>
                <w:szCs w:val="21"/>
              </w:rPr>
            </w:pPr>
            <w:bookmarkStart w:id="254" w:name="_Toc26094"/>
            <w:r>
              <w:rPr>
                <w:rFonts w:hint="eastAsia" w:ascii="仿宋" w:hAnsi="仿宋" w:eastAsia="仿宋" w:cs="仿宋"/>
                <w:sz w:val="21"/>
                <w:szCs w:val="21"/>
              </w:rPr>
              <w:t>差异说明</w:t>
            </w:r>
            <w:bookmarkEnd w:id="2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bl>
    <w:p>
      <w:pPr>
        <w:spacing w:after="200" w:line="276" w:lineRule="auto"/>
        <w:rPr>
          <w:rFonts w:ascii="仿宋" w:hAnsi="仿宋" w:eastAsia="仿宋" w:cs="仿宋"/>
          <w:sz w:val="24"/>
          <w:szCs w:val="28"/>
        </w:rPr>
      </w:pPr>
      <w:r>
        <w:rPr>
          <w:rFonts w:hint="eastAsia" w:ascii="仿宋" w:hAnsi="仿宋" w:eastAsia="仿宋" w:cs="仿宋"/>
          <w:sz w:val="24"/>
          <w:szCs w:val="28"/>
        </w:rPr>
        <w:t>供应商：                                      法定代表人授权代表：</w:t>
      </w:r>
    </w:p>
    <w:p>
      <w:pPr>
        <w:spacing w:after="200" w:line="276" w:lineRule="auto"/>
        <w:rPr>
          <w:rFonts w:ascii="仿宋" w:hAnsi="仿宋" w:eastAsia="仿宋" w:cs="仿宋"/>
          <w:sz w:val="24"/>
          <w:szCs w:val="28"/>
        </w:rPr>
      </w:pPr>
    </w:p>
    <w:p>
      <w:pPr>
        <w:spacing w:after="200" w:line="276" w:lineRule="auto"/>
        <w:rPr>
          <w:rFonts w:ascii="仿宋" w:hAnsi="仿宋" w:eastAsia="仿宋" w:cs="仿宋"/>
          <w:sz w:val="24"/>
          <w:szCs w:val="28"/>
        </w:rPr>
      </w:pPr>
      <w:r>
        <w:rPr>
          <w:rFonts w:hint="eastAsia" w:ascii="仿宋" w:hAnsi="仿宋" w:eastAsia="仿宋" w:cs="仿宋"/>
          <w:sz w:val="24"/>
          <w:szCs w:val="28"/>
        </w:rPr>
        <w:t>（供应商公章）                               （签字或盖章）</w:t>
      </w:r>
    </w:p>
    <w:p>
      <w:pPr>
        <w:spacing w:after="200" w:line="276" w:lineRule="auto"/>
        <w:rPr>
          <w:rFonts w:ascii="仿宋" w:hAnsi="仿宋" w:eastAsia="仿宋" w:cs="仿宋"/>
          <w:sz w:val="24"/>
        </w:rPr>
      </w:pPr>
      <w:r>
        <w:rPr>
          <w:rFonts w:hint="eastAsia" w:ascii="仿宋" w:hAnsi="仿宋" w:eastAsia="仿宋" w:cs="仿宋"/>
          <w:sz w:val="24"/>
          <w:szCs w:val="28"/>
        </w:rPr>
        <w:t xml:space="preserve">                                            年     月     日</w:t>
      </w:r>
    </w:p>
    <w:p>
      <w:pPr>
        <w:spacing w:after="200" w:line="276" w:lineRule="auto"/>
        <w:rPr>
          <w:rFonts w:ascii="仿宋" w:hAnsi="仿宋" w:eastAsia="仿宋" w:cs="仿宋"/>
          <w:sz w:val="24"/>
        </w:rPr>
      </w:pPr>
      <w:r>
        <w:rPr>
          <w:rFonts w:hint="eastAsia" w:ascii="仿宋" w:hAnsi="仿宋" w:eastAsia="仿宋" w:cs="仿宋"/>
          <w:sz w:val="24"/>
        </w:rPr>
        <w:t>注：</w:t>
      </w:r>
    </w:p>
    <w:p>
      <w:pPr>
        <w:spacing w:after="200" w:line="276" w:lineRule="auto"/>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.本表即为对本项目“第三篇  磋商项目技术需求”中所列技术要求进行比较和响应；</w:t>
      </w:r>
    </w:p>
    <w:p>
      <w:pPr>
        <w:spacing w:after="200" w:line="276" w:lineRule="auto"/>
        <w:rPr>
          <w:rFonts w:ascii="仿宋" w:hAnsi="仿宋" w:eastAsia="仿宋" w:cs="仿宋"/>
          <w:sz w:val="24"/>
        </w:rPr>
      </w:pPr>
      <w:r>
        <w:rPr>
          <w:rFonts w:hint="eastAsia" w:ascii="仿宋" w:hAnsi="仿宋" w:eastAsia="仿宋" w:cs="仿宋"/>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pPr>
        <w:spacing w:after="200" w:line="276" w:lineRule="auto"/>
        <w:rPr>
          <w:rFonts w:ascii="仿宋" w:hAnsi="仿宋" w:eastAsia="仿宋" w:cs="仿宋"/>
          <w:sz w:val="24"/>
        </w:rPr>
      </w:pPr>
      <w:r>
        <w:rPr>
          <w:rFonts w:hint="eastAsia" w:ascii="仿宋" w:hAnsi="仿宋" w:eastAsia="仿宋" w:cs="仿宋"/>
          <w:sz w:val="24"/>
        </w:rPr>
        <w:t>3.</w:t>
      </w:r>
      <w:r>
        <w:rPr>
          <w:rFonts w:hint="eastAsia" w:ascii="仿宋" w:hAnsi="仿宋" w:eastAsia="仿宋" w:cs="仿宋"/>
          <w:b/>
          <w:sz w:val="24"/>
          <w:szCs w:val="28"/>
        </w:rPr>
        <w:t>本表必须逐页签字或盖章，否则投标无效</w:t>
      </w:r>
      <w:r>
        <w:rPr>
          <w:rFonts w:hint="eastAsia" w:ascii="仿宋" w:hAnsi="仿宋" w:eastAsia="仿宋" w:cs="仿宋"/>
          <w:sz w:val="24"/>
        </w:rPr>
        <w:t>；</w:t>
      </w:r>
    </w:p>
    <w:p>
      <w:pPr>
        <w:spacing w:after="200" w:line="276" w:lineRule="auto"/>
        <w:rPr>
          <w:rFonts w:ascii="仿宋" w:hAnsi="仿宋" w:eastAsia="仿宋" w:cs="仿宋"/>
          <w:sz w:val="24"/>
        </w:rPr>
      </w:pPr>
      <w:r>
        <w:rPr>
          <w:rFonts w:hint="eastAsia" w:ascii="仿宋" w:hAnsi="仿宋" w:eastAsia="仿宋" w:cs="仿宋"/>
          <w:sz w:val="24"/>
        </w:rPr>
        <w:t>4.可附相关技术支撑材料。（格式自定）</w:t>
      </w:r>
    </w:p>
    <w:p>
      <w:pPr>
        <w:spacing w:after="200" w:line="276" w:lineRule="auto"/>
        <w:rPr>
          <w:rFonts w:ascii="仿宋" w:hAnsi="仿宋" w:eastAsia="仿宋" w:cs="仿宋"/>
          <w:sz w:val="24"/>
          <w:szCs w:val="24"/>
        </w:rPr>
      </w:pPr>
    </w:p>
    <w:p>
      <w:pPr>
        <w:keepNext/>
        <w:keepLines/>
        <w:spacing w:before="260" w:after="260" w:line="413" w:lineRule="auto"/>
        <w:outlineLvl w:val="1"/>
        <w:rPr>
          <w:b/>
          <w:bCs/>
          <w:kern w:val="0"/>
          <w:szCs w:val="28"/>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说明：</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before="260" w:after="260" w:line="413" w:lineRule="auto"/>
        <w:outlineLvl w:val="1"/>
        <w:rPr>
          <w:rFonts w:ascii="Arial" w:hAnsi="Arial" w:eastAsia="黑体"/>
          <w:b/>
          <w:szCs w:val="28"/>
        </w:rPr>
      </w:pPr>
      <w:bookmarkStart w:id="255" w:name="_Toc14669"/>
      <w:bookmarkStart w:id="256" w:name="_Toc5235"/>
      <w:bookmarkStart w:id="257" w:name="_Toc80882100"/>
      <w:bookmarkStart w:id="258" w:name="_Toc6156"/>
      <w:bookmarkStart w:id="259" w:name="_Toc19253"/>
      <w:bookmarkStart w:id="260" w:name="_Toc5317"/>
      <w:bookmarkStart w:id="261" w:name="_Toc313888362"/>
      <w:bookmarkStart w:id="262" w:name="_Toc77262140"/>
      <w:bookmarkStart w:id="263" w:name="_Toc342913421"/>
      <w:bookmarkStart w:id="264" w:name="_Toc15142"/>
      <w:bookmarkStart w:id="265" w:name="_Toc71288802"/>
      <w:bookmarkStart w:id="266" w:name="_Toc313008358"/>
      <w:bookmarkStart w:id="267" w:name="_Toc485108798"/>
      <w:bookmarkStart w:id="268" w:name="_Toc26240"/>
      <w:bookmarkStart w:id="269" w:name="_Toc480979020"/>
      <w:r>
        <w:rPr>
          <w:rFonts w:hint="eastAsia" w:ascii="仿宋" w:hAnsi="仿宋" w:eastAsia="仿宋" w:cs="仿宋"/>
          <w:b/>
          <w:szCs w:val="28"/>
        </w:rPr>
        <w:t>三、服务部分</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spacing w:line="360" w:lineRule="auto"/>
        <w:ind w:firstLine="480" w:firstLineChars="200"/>
        <w:rPr>
          <w:rFonts w:ascii="仿宋" w:hAnsi="仿宋" w:eastAsia="仿宋" w:cs="仿宋"/>
          <w:sz w:val="24"/>
          <w:szCs w:val="24"/>
        </w:rPr>
      </w:pPr>
      <w:bookmarkStart w:id="270" w:name="_Toc283382459"/>
      <w:r>
        <w:rPr>
          <w:rFonts w:hint="eastAsia" w:ascii="仿宋" w:hAnsi="仿宋" w:eastAsia="仿宋" w:cs="仿宋"/>
          <w:sz w:val="24"/>
          <w:szCs w:val="24"/>
        </w:rPr>
        <w:t>（一）服务响应偏离表</w:t>
      </w:r>
    </w:p>
    <w:p>
      <w:pPr>
        <w:snapToGrid w:val="0"/>
        <w:spacing w:line="360" w:lineRule="auto"/>
        <w:ind w:firstLine="562" w:firstLineChars="200"/>
        <w:jc w:val="center"/>
        <w:rPr>
          <w:rFonts w:ascii="仿宋" w:hAnsi="仿宋" w:eastAsia="仿宋" w:cs="仿宋"/>
          <w:b/>
          <w:szCs w:val="28"/>
        </w:rPr>
      </w:pPr>
      <w:r>
        <w:rPr>
          <w:rFonts w:hint="eastAsia" w:ascii="仿宋" w:hAnsi="仿宋" w:eastAsia="仿宋" w:cs="仿宋"/>
          <w:b/>
          <w:szCs w:val="28"/>
        </w:rPr>
        <w:t>服务响应偏离表（本表可自行设计格式）</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对于磋商文件的服务要求，如有任何偏离请如实填写下表：</w:t>
      </w:r>
    </w:p>
    <w:tbl>
      <w:tblPr>
        <w:tblStyle w:val="15"/>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rPr>
                <w:rFonts w:ascii="仿宋" w:hAnsi="仿宋" w:eastAsia="仿宋" w:cs="仿宋"/>
                <w:sz w:val="21"/>
                <w:szCs w:val="24"/>
              </w:rPr>
            </w:pPr>
            <w:bookmarkStart w:id="271" w:name="_Toc9376"/>
            <w:r>
              <w:rPr>
                <w:rFonts w:hint="eastAsia" w:ascii="仿宋" w:hAnsi="仿宋" w:eastAsia="仿宋" w:cs="仿宋"/>
                <w:sz w:val="21"/>
                <w:szCs w:val="24"/>
              </w:rPr>
              <w:t>序号</w:t>
            </w:r>
            <w:bookmarkEnd w:id="271"/>
          </w:p>
        </w:tc>
        <w:tc>
          <w:tcPr>
            <w:tcW w:w="3179" w:type="dxa"/>
            <w:vAlign w:val="center"/>
          </w:tcPr>
          <w:p>
            <w:pPr>
              <w:tabs>
                <w:tab w:val="left" w:pos="6300"/>
              </w:tabs>
              <w:snapToGrid w:val="0"/>
              <w:spacing w:line="360" w:lineRule="auto"/>
              <w:jc w:val="center"/>
              <w:rPr>
                <w:rFonts w:ascii="仿宋" w:hAnsi="仿宋" w:eastAsia="仿宋" w:cs="仿宋"/>
                <w:sz w:val="21"/>
                <w:szCs w:val="24"/>
              </w:rPr>
            </w:pPr>
            <w:bookmarkStart w:id="272" w:name="_Toc21324"/>
            <w:r>
              <w:rPr>
                <w:rFonts w:hint="eastAsia" w:ascii="仿宋" w:hAnsi="仿宋" w:eastAsia="仿宋" w:cs="仿宋"/>
                <w:sz w:val="21"/>
                <w:szCs w:val="24"/>
              </w:rPr>
              <w:t>磋商项目</w:t>
            </w:r>
            <w:bookmarkEnd w:id="272"/>
            <w:r>
              <w:rPr>
                <w:rFonts w:hint="eastAsia" w:ascii="仿宋" w:hAnsi="仿宋" w:eastAsia="仿宋" w:cs="仿宋"/>
                <w:sz w:val="21"/>
                <w:szCs w:val="24"/>
              </w:rPr>
              <w:t>要求</w:t>
            </w:r>
          </w:p>
        </w:tc>
        <w:tc>
          <w:tcPr>
            <w:tcW w:w="2434" w:type="dxa"/>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投标应答</w:t>
            </w:r>
          </w:p>
        </w:tc>
        <w:tc>
          <w:tcPr>
            <w:tcW w:w="2355" w:type="dxa"/>
            <w:vAlign w:val="center"/>
          </w:tcPr>
          <w:p>
            <w:pPr>
              <w:tabs>
                <w:tab w:val="left" w:pos="6300"/>
              </w:tabs>
              <w:snapToGrid w:val="0"/>
              <w:spacing w:line="360" w:lineRule="auto"/>
              <w:jc w:val="center"/>
              <w:rPr>
                <w:rFonts w:ascii="仿宋" w:hAnsi="仿宋" w:eastAsia="仿宋" w:cs="仿宋"/>
                <w:sz w:val="21"/>
                <w:szCs w:val="24"/>
              </w:rPr>
            </w:pPr>
            <w:bookmarkStart w:id="273" w:name="_Toc23009"/>
            <w:r>
              <w:rPr>
                <w:rFonts w:hint="eastAsia" w:ascii="仿宋" w:hAnsi="仿宋" w:eastAsia="仿宋" w:cs="仿宋"/>
                <w:sz w:val="21"/>
                <w:szCs w:val="24"/>
              </w:rPr>
              <w:t>差异说明</w:t>
            </w:r>
            <w:bookmarkEnd w:id="2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bl>
    <w:p>
      <w:pPr>
        <w:snapToGrid w:val="0"/>
        <w:spacing w:line="360" w:lineRule="auto"/>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                                      法定代表人授权代表：</w:t>
      </w:r>
    </w:p>
    <w:p>
      <w:pPr>
        <w:spacing w:line="500" w:lineRule="exact"/>
        <w:ind w:firstLine="480" w:firstLineChars="200"/>
        <w:rPr>
          <w:rFonts w:ascii="仿宋" w:hAnsi="仿宋" w:eastAsia="仿宋" w:cs="仿宋"/>
          <w:sz w:val="24"/>
          <w:szCs w:val="28"/>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                                 （签字或盖章）</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 xml:space="preserve">                                            年     月     日</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.本表即为对本项目“第四篇 磋商项目服务需求”中所列服务要求进行比较和响应；</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cs="仿宋"/>
          <w:b/>
          <w:sz w:val="24"/>
        </w:rPr>
      </w:pPr>
      <w:r>
        <w:rPr>
          <w:rFonts w:hint="eastAsia" w:ascii="仿宋" w:hAnsi="仿宋" w:eastAsia="仿宋" w:cs="仿宋"/>
          <w:sz w:val="24"/>
        </w:rPr>
        <w:t>3.</w:t>
      </w:r>
      <w:r>
        <w:rPr>
          <w:rFonts w:hint="eastAsia" w:ascii="仿宋" w:hAnsi="仿宋" w:eastAsia="仿宋" w:cs="仿宋"/>
          <w:b/>
          <w:sz w:val="24"/>
        </w:rPr>
        <w:t>本表必须</w:t>
      </w:r>
      <w:r>
        <w:rPr>
          <w:rFonts w:hint="eastAsia" w:ascii="仿宋" w:hAnsi="仿宋" w:eastAsia="仿宋" w:cs="仿宋"/>
          <w:b/>
          <w:sz w:val="24"/>
          <w:szCs w:val="28"/>
        </w:rPr>
        <w:t>逐页签字或盖章，否则投标无效</w:t>
      </w:r>
      <w:r>
        <w:rPr>
          <w:rFonts w:hint="eastAsia" w:ascii="仿宋" w:hAnsi="仿宋" w:eastAsia="仿宋" w:cs="仿宋"/>
          <w:b/>
          <w:sz w:val="24"/>
        </w:rPr>
        <w:t>。</w:t>
      </w:r>
    </w:p>
    <w:p>
      <w:pPr>
        <w:spacing w:line="360" w:lineRule="auto"/>
        <w:ind w:firstLine="560" w:firstLineChars="200"/>
        <w:rPr>
          <w:rFonts w:ascii="仿宋" w:hAnsi="仿宋" w:eastAsia="仿宋" w:cs="仿宋"/>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（三）其它优惠承诺（格式自定）</w:t>
      </w:r>
      <w:bookmarkEnd w:id="270"/>
      <w:bookmarkStart w:id="274" w:name="_Toc480979021"/>
      <w:bookmarkStart w:id="275" w:name="_Toc485108799"/>
      <w:bookmarkStart w:id="276" w:name="_Toc313008359"/>
      <w:bookmarkStart w:id="277" w:name="_Toc342913422"/>
      <w:bookmarkStart w:id="278" w:name="_Toc313888363"/>
    </w:p>
    <w:p>
      <w:pPr>
        <w:spacing w:line="360" w:lineRule="auto"/>
        <w:ind w:firstLine="480" w:firstLineChars="200"/>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p>
    <w:p>
      <w:pPr>
        <w:keepNext/>
        <w:keepLines/>
        <w:spacing w:before="260" w:after="260" w:line="413" w:lineRule="auto"/>
        <w:outlineLvl w:val="1"/>
        <w:rPr>
          <w:rFonts w:ascii="仿宋" w:hAnsi="仿宋" w:eastAsia="仿宋" w:cs="仿宋"/>
          <w:b/>
          <w:sz w:val="24"/>
          <w:szCs w:val="24"/>
        </w:rPr>
      </w:pPr>
      <w:r>
        <w:rPr>
          <w:rFonts w:hint="eastAsia" w:ascii="仿宋" w:hAnsi="仿宋" w:eastAsia="仿宋" w:cs="仿宋"/>
          <w:b/>
          <w:sz w:val="24"/>
          <w:szCs w:val="24"/>
        </w:rPr>
        <w:br w:type="page"/>
      </w:r>
      <w:bookmarkStart w:id="279" w:name="_Toc80882101"/>
      <w:bookmarkStart w:id="280" w:name="_Toc1238"/>
      <w:bookmarkStart w:id="281" w:name="_Toc5741"/>
      <w:bookmarkStart w:id="282" w:name="_Toc11539"/>
      <w:bookmarkStart w:id="283" w:name="_Toc14374"/>
      <w:bookmarkStart w:id="284" w:name="_Toc71288803"/>
      <w:bookmarkStart w:id="285" w:name="_Toc14483"/>
      <w:bookmarkStart w:id="286" w:name="_Toc77262141"/>
      <w:bookmarkStart w:id="287" w:name="_Toc174"/>
      <w:bookmarkStart w:id="288" w:name="_Toc4019"/>
      <w:r>
        <w:rPr>
          <w:rFonts w:hint="eastAsia" w:ascii="仿宋" w:hAnsi="仿宋" w:eastAsia="仿宋" w:cs="仿宋"/>
          <w:b/>
          <w:szCs w:val="28"/>
        </w:rPr>
        <w:t>四、资格条件</w:t>
      </w:r>
      <w:bookmarkEnd w:id="274"/>
      <w:bookmarkEnd w:id="275"/>
      <w:r>
        <w:rPr>
          <w:rFonts w:hint="eastAsia" w:ascii="仿宋" w:hAnsi="仿宋" w:eastAsia="仿宋" w:cs="仿宋"/>
          <w:b/>
          <w:bCs/>
          <w:szCs w:val="28"/>
        </w:rPr>
        <w:t>(单独装订，一式三份)</w:t>
      </w:r>
      <w:bookmarkEnd w:id="279"/>
      <w:bookmarkEnd w:id="280"/>
      <w:bookmarkEnd w:id="281"/>
      <w:bookmarkEnd w:id="282"/>
      <w:bookmarkEnd w:id="283"/>
      <w:bookmarkEnd w:id="284"/>
      <w:bookmarkEnd w:id="285"/>
      <w:bookmarkEnd w:id="286"/>
      <w:bookmarkEnd w:id="287"/>
      <w:bookmarkEnd w:id="288"/>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560" w:firstLineChars="200"/>
        <w:rPr>
          <w:rFonts w:ascii="仿宋" w:hAnsi="仿宋" w:eastAsia="仿宋" w:cs="仿宋"/>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（二）税务登记证副本复印件</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说明：“多证合一”登记制度办理营业执照的，组织机构代码证、税务登记证（副本）和</w:t>
      </w:r>
      <w:r>
        <w:rPr>
          <w:rFonts w:hint="eastAsia" w:ascii="仿宋" w:hAnsi="仿宋" w:eastAsia="仿宋" w:cs="宋体"/>
          <w:sz w:val="24"/>
          <w:szCs w:val="24"/>
        </w:rPr>
        <w:t>2021年1-6月</w:t>
      </w:r>
      <w:r>
        <w:rPr>
          <w:rFonts w:hint="eastAsia" w:ascii="仿宋" w:hAnsi="仿宋" w:eastAsia="仿宋" w:cs="仿宋"/>
          <w:sz w:val="24"/>
          <w:szCs w:val="24"/>
        </w:rPr>
        <w:t>社会保险登记证以供应商所提供的营业执照（副本）复印件为准。</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项目名称：</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（法定代表人姓名）在（供应商名称）任（职务名称）职务，是（供应商名称）的法定代表人。</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特此证明。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（供应商公章）</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年   月   日</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（附：法定代表人身份证正反面复印件）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（四）法定代表人授权委托书（格式）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（供应商法定代表人名称）是（供应商名称）的法定代表人，特授权（被授权人姓名及身份证代码）代表我单位全权办理上述项目的磋商、签约等具体工作，并签署全部有关文件、协议及合同。</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我单位对被授权人的签字负全部责任。</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被授权人：                                 供应商法定代表人：</w:t>
      </w: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（签字或盖章）                                （签字或盖章）</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（附：被授权人身份证正反面复印件）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（供应商公章）</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年   月   日</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（五）提供2020年度财务状况报告（表）（表：资产负债表和损益表）复印件或其基本开户银行出具的资信证明复印件或2020年度审计报告。</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60" w:firstLineChars="200"/>
        <w:rPr>
          <w:rFonts w:ascii="仿宋" w:hAnsi="仿宋" w:eastAsia="仿宋" w:cs="仿宋"/>
        </w:rPr>
      </w:pPr>
      <w:r>
        <w:rPr>
          <w:rFonts w:hint="eastAsia" w:ascii="仿宋" w:hAnsi="仿宋" w:eastAsia="仿宋" w:cs="仿宋"/>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致：（采购代理机构名称）：</w:t>
      </w:r>
    </w:p>
    <w:p>
      <w:pPr>
        <w:spacing w:after="200" w:line="600" w:lineRule="exact"/>
        <w:ind w:firstLine="480" w:firstLineChars="200"/>
        <w:rPr>
          <w:rFonts w:ascii="仿宋" w:hAnsi="仿宋" w:eastAsia="仿宋" w:cs="仿宋"/>
          <w:sz w:val="24"/>
          <w:szCs w:val="24"/>
        </w:rPr>
      </w:pPr>
      <w:r>
        <w:rPr>
          <w:rFonts w:hint="eastAsia" w:ascii="仿宋" w:hAnsi="仿宋" w:eastAsia="仿宋" w:cs="仿宋"/>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 xml:space="preserve">       特此声明。</w:t>
      </w:r>
    </w:p>
    <w:p>
      <w:pPr>
        <w:tabs>
          <w:tab w:val="left" w:pos="6300"/>
        </w:tabs>
        <w:snapToGrid w:val="0"/>
        <w:spacing w:line="500" w:lineRule="exact"/>
        <w:ind w:firstLine="480" w:firstLineChars="200"/>
        <w:jc w:val="center"/>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w:t>
      </w:r>
    </w:p>
    <w:p>
      <w:pPr>
        <w:tabs>
          <w:tab w:val="left" w:pos="6300"/>
        </w:tabs>
        <w:snapToGrid w:val="0"/>
        <w:spacing w:line="360" w:lineRule="auto"/>
        <w:ind w:right="360" w:firstLine="480" w:firstLineChars="200"/>
        <w:jc w:val="right"/>
        <w:rPr>
          <w:rFonts w:ascii="仿宋" w:hAnsi="仿宋" w:eastAsia="仿宋" w:cs="仿宋"/>
          <w:sz w:val="24"/>
          <w:szCs w:val="28"/>
        </w:rPr>
      </w:pPr>
    </w:p>
    <w:p>
      <w:pPr>
        <w:tabs>
          <w:tab w:val="left" w:pos="6300"/>
        </w:tabs>
        <w:snapToGrid w:val="0"/>
        <w:spacing w:line="360" w:lineRule="auto"/>
        <w:ind w:right="1320" w:firstLine="480" w:firstLineChars="200"/>
        <w:jc w:val="right"/>
        <w:rPr>
          <w:rFonts w:ascii="仿宋" w:hAnsi="仿宋" w:eastAsia="仿宋" w:cs="仿宋"/>
          <w:sz w:val="24"/>
          <w:szCs w:val="28"/>
        </w:rPr>
      </w:pPr>
      <w:r>
        <w:rPr>
          <w:rFonts w:hint="eastAsia" w:ascii="仿宋" w:hAnsi="仿宋" w:eastAsia="仿宋" w:cs="仿宋"/>
          <w:sz w:val="24"/>
          <w:szCs w:val="28"/>
        </w:rPr>
        <w:t>年   月   日</w:t>
      </w:r>
    </w:p>
    <w:p>
      <w:pPr>
        <w:tabs>
          <w:tab w:val="left" w:pos="6300"/>
        </w:tabs>
        <w:snapToGrid w:val="0"/>
        <w:spacing w:line="500" w:lineRule="exact"/>
        <w:ind w:firstLine="480" w:firstLineChars="200"/>
        <w:outlineLvl w:val="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bookmarkStart w:id="289" w:name="OLE_LINK7"/>
      <w:bookmarkStart w:id="290" w:name="OLE_LINK4"/>
      <w:r>
        <w:rPr>
          <w:rFonts w:hint="eastAsia" w:ascii="仿宋" w:hAnsi="仿宋" w:eastAsia="仿宋" w:cs="仿宋"/>
          <w:sz w:val="24"/>
          <w:szCs w:val="24"/>
        </w:rPr>
        <w:t>（七）缴纳社会保障金的证明材料复印件</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宋体"/>
          <w:sz w:val="24"/>
          <w:szCs w:val="24"/>
        </w:rPr>
        <w:t>2021年1-6月</w:t>
      </w:r>
      <w:r>
        <w:rPr>
          <w:rFonts w:hint="eastAsia" w:ascii="仿宋" w:hAnsi="仿宋" w:eastAsia="仿宋" w:cs="仿宋"/>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br w:type="page"/>
      </w:r>
    </w:p>
    <w:p>
      <w:pPr>
        <w:keepNext/>
        <w:keepLines/>
        <w:spacing w:before="260" w:after="260" w:line="413" w:lineRule="auto"/>
        <w:outlineLvl w:val="1"/>
        <w:rPr>
          <w:rFonts w:ascii="仿宋" w:hAnsi="仿宋" w:eastAsia="仿宋" w:cs="仿宋"/>
          <w:b/>
          <w:sz w:val="24"/>
          <w:szCs w:val="24"/>
        </w:rPr>
      </w:pPr>
      <w:bookmarkStart w:id="291" w:name="_Toc21149"/>
      <w:bookmarkStart w:id="292" w:name="_Toc485108800"/>
      <w:bookmarkStart w:id="293" w:name="_Toc71288804"/>
      <w:bookmarkStart w:id="294" w:name="_Toc30939"/>
      <w:bookmarkStart w:id="295" w:name="_Toc19132"/>
      <w:bookmarkStart w:id="296" w:name="_Toc12731"/>
      <w:bookmarkStart w:id="297" w:name="_Toc77262142"/>
      <w:bookmarkStart w:id="298" w:name="_Toc80882102"/>
      <w:bookmarkStart w:id="299" w:name="_Toc15052"/>
      <w:bookmarkStart w:id="300" w:name="_Toc26757"/>
      <w:bookmarkStart w:id="301" w:name="_Toc480979022"/>
      <w:bookmarkStart w:id="302" w:name="_Toc18595"/>
      <w:r>
        <w:rPr>
          <w:rFonts w:hint="eastAsia" w:ascii="仿宋" w:hAnsi="仿宋" w:eastAsia="仿宋" w:cs="仿宋"/>
          <w:b/>
          <w:szCs w:val="28"/>
        </w:rPr>
        <w:t>五、</w:t>
      </w:r>
      <w:bookmarkEnd w:id="276"/>
      <w:bookmarkEnd w:id="277"/>
      <w:bookmarkEnd w:id="278"/>
      <w:r>
        <w:rPr>
          <w:rFonts w:hint="eastAsia" w:ascii="仿宋" w:hAnsi="仿宋" w:eastAsia="仿宋" w:cs="仿宋"/>
          <w:b/>
          <w:szCs w:val="28"/>
        </w:rPr>
        <w:t>其他应提供的资料</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tabs>
          <w:tab w:val="left" w:pos="6300"/>
        </w:tabs>
        <w:snapToGrid w:val="0"/>
        <w:spacing w:line="500" w:lineRule="exact"/>
        <w:ind w:firstLine="480" w:firstLineChars="200"/>
        <w:rPr>
          <w:rFonts w:ascii="仿宋" w:hAnsi="仿宋" w:eastAsia="仿宋" w:cs="仿宋"/>
          <w:sz w:val="24"/>
          <w:szCs w:val="24"/>
        </w:rPr>
      </w:pPr>
      <w:bookmarkStart w:id="303" w:name="_Toc15962"/>
      <w:bookmarkStart w:id="304" w:name="_Toc21715"/>
      <w:bookmarkStart w:id="305" w:name="_Toc6923"/>
      <w:bookmarkStart w:id="306" w:name="_Toc18704"/>
      <w:bookmarkStart w:id="307" w:name="_Toc12957"/>
      <w:r>
        <w:rPr>
          <w:rFonts w:ascii="仿宋" w:hAnsi="仿宋" w:eastAsia="仿宋" w:cs="仿宋"/>
          <w:sz w:val="24"/>
          <w:szCs w:val="24"/>
        </w:rPr>
        <w:t>（一）</w:t>
      </w:r>
      <w:bookmarkEnd w:id="303"/>
      <w:bookmarkEnd w:id="304"/>
      <w:bookmarkEnd w:id="305"/>
      <w:bookmarkEnd w:id="306"/>
      <w:bookmarkEnd w:id="307"/>
      <w:bookmarkStart w:id="308" w:name="_Toc26418"/>
      <w:bookmarkStart w:id="309" w:name="_Toc17356"/>
      <w:bookmarkStart w:id="310" w:name="_Toc20109"/>
      <w:bookmarkStart w:id="311" w:name="_Toc22953"/>
      <w:bookmarkStart w:id="312" w:name="_Toc32007"/>
      <w:bookmarkStart w:id="313" w:name="_Toc32397"/>
      <w:r>
        <w:rPr>
          <w:rFonts w:hint="eastAsia" w:ascii="仿宋" w:hAnsi="仿宋" w:eastAsia="仿宋" w:cs="仿宋"/>
          <w:sz w:val="24"/>
          <w:szCs w:val="24"/>
        </w:rPr>
        <w:t>供应商中小企业声明函（非中小微企业不提供）</w:t>
      </w:r>
    </w:p>
    <w:p>
      <w:pPr>
        <w:tabs>
          <w:tab w:val="left" w:pos="6300"/>
        </w:tabs>
        <w:snapToGrid w:val="0"/>
        <w:spacing w:after="200" w:line="500" w:lineRule="exact"/>
        <w:jc w:val="center"/>
        <w:rPr>
          <w:rFonts w:ascii="仿宋" w:hAnsi="仿宋" w:eastAsia="仿宋" w:cs="宋体"/>
          <w:sz w:val="24"/>
          <w:szCs w:val="24"/>
        </w:rPr>
      </w:pPr>
      <w:r>
        <w:rPr>
          <w:rFonts w:hint="eastAsia" w:ascii="仿宋" w:hAnsi="仿宋" w:eastAsia="仿宋" w:cs="宋体"/>
          <w:sz w:val="24"/>
          <w:szCs w:val="24"/>
        </w:rPr>
        <w:t>中小企业声明函（货物）</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本公司郑重声明，根据《政府采购促进中小企业发展管理办法》（财库〔2020〕46号）的规定，本公司参加</w:t>
      </w:r>
      <w:r>
        <w:rPr>
          <w:rFonts w:hint="eastAsia" w:ascii="仿宋" w:hAnsi="仿宋" w:eastAsia="仿宋" w:cs="宋体"/>
          <w:i/>
          <w:sz w:val="24"/>
          <w:szCs w:val="24"/>
          <w:u w:val="single"/>
        </w:rPr>
        <w:t>（单位名称）</w:t>
      </w:r>
      <w:r>
        <w:rPr>
          <w:rFonts w:hint="eastAsia" w:ascii="仿宋" w:hAnsi="仿宋" w:eastAsia="仿宋" w:cs="宋体"/>
          <w:sz w:val="24"/>
          <w:szCs w:val="24"/>
        </w:rPr>
        <w:t>的</w:t>
      </w:r>
      <w:r>
        <w:rPr>
          <w:rFonts w:hint="eastAsia" w:ascii="仿宋" w:hAnsi="仿宋" w:eastAsia="仿宋" w:cs="宋体"/>
          <w:i/>
          <w:sz w:val="24"/>
          <w:szCs w:val="24"/>
          <w:u w:val="single"/>
        </w:rPr>
        <w:t>（项目名称）</w:t>
      </w:r>
      <w:r>
        <w:rPr>
          <w:rFonts w:hint="eastAsia" w:ascii="仿宋" w:hAnsi="仿宋" w:eastAsia="仿宋" w:cs="宋体"/>
          <w:sz w:val="24"/>
          <w:szCs w:val="24"/>
        </w:rPr>
        <w:t>采购活动，提供的货物全部由符合政策要求的中小企业制造。相关企业的具体情况如下：</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u w:val="single"/>
        </w:rPr>
        <w:t>（标的名称）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2.</w:t>
      </w:r>
      <w:r>
        <w:rPr>
          <w:rFonts w:hint="eastAsia" w:ascii="仿宋" w:hAnsi="仿宋" w:eastAsia="仿宋" w:cs="宋体"/>
          <w:sz w:val="24"/>
          <w:szCs w:val="24"/>
          <w:u w:val="single"/>
        </w:rPr>
        <w:t xml:space="preserve"> （标的名称）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以上企业，不属于大企业的分支机构，不存在控股股东为大企业的情形，也不存在与大企业的负责人为同一人的情形。</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本企业对上述声明内容的真实性负责。如有虚假，将依法承担相应责任。</w:t>
      </w:r>
    </w:p>
    <w:p>
      <w:pPr>
        <w:tabs>
          <w:tab w:val="left" w:pos="6300"/>
        </w:tabs>
        <w:snapToGrid w:val="0"/>
        <w:spacing w:after="200" w:line="500" w:lineRule="exact"/>
        <w:ind w:firstLine="480" w:firstLineChars="200"/>
        <w:rPr>
          <w:rFonts w:ascii="仿宋" w:hAnsi="仿宋" w:eastAsia="仿宋" w:cs="宋体"/>
          <w:sz w:val="24"/>
          <w:szCs w:val="24"/>
        </w:rPr>
      </w:pP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 xml:space="preserve">企业名称（盖章）： </w:t>
      </w: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日期：</w:t>
      </w:r>
    </w:p>
    <w:p>
      <w:pPr>
        <w:tabs>
          <w:tab w:val="left" w:pos="6300"/>
        </w:tabs>
        <w:snapToGrid w:val="0"/>
        <w:spacing w:after="200" w:line="270" w:lineRule="exact"/>
        <w:ind w:firstLine="561"/>
        <w:jc w:val="left"/>
        <w:rPr>
          <w:rFonts w:ascii="仿宋" w:hAnsi="仿宋" w:eastAsia="仿宋" w:cs="宋体"/>
          <w:b/>
          <w:bCs/>
          <w:sz w:val="24"/>
          <w:szCs w:val="24"/>
        </w:rPr>
      </w:pPr>
      <w:r>
        <w:rPr>
          <w:rFonts w:hint="eastAsia" w:ascii="仿宋" w:hAnsi="仿宋" w:eastAsia="仿宋" w:cs="宋体"/>
          <w:b/>
          <w:bCs/>
          <w:sz w:val="24"/>
          <w:szCs w:val="24"/>
        </w:rPr>
        <w:t>填写时应注意以下事项：</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1.从业人员、营业收入、资产总额填报上一年度数据，无上一年度数据的新成立企业可不填报。</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2.供应商未填写所属行业，或所填写企业类型与相应行业划型标准不一致的，视为未提供《中小企业声明函》，不享受中小企业扶持政策。</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3.中小企业应当按照《中小企业划型标准规定》（工信部联企业〔2011〕300号），如实填写并提交《中小企业声明函》。</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注：各行业划型标准：</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（十六）其他未列明行业。从业人员300人以下的为中小微型企业。其中，从业人员100人及以上的为中型企业；从业人员10人及以上的为小型企业；从业人员10人以下的为微型企业。</w:t>
      </w:r>
    </w:p>
    <w:p>
      <w:pPr>
        <w:spacing w:after="200" w:line="500" w:lineRule="exact"/>
        <w:ind w:firstLine="480" w:firstLineChars="200"/>
        <w:rPr>
          <w:rFonts w:ascii="宋体" w:hAnsi="宋体" w:cs="宋体"/>
          <w:sz w:val="24"/>
          <w:szCs w:val="28"/>
        </w:rPr>
      </w:pPr>
    </w:p>
    <w:p>
      <w:pPr>
        <w:widowControl/>
        <w:jc w:val="left"/>
        <w:rPr>
          <w:rFonts w:ascii="仿宋" w:hAnsi="仿宋" w:eastAsia="仿宋" w:cs="仿宋"/>
          <w:b/>
          <w:szCs w:val="28"/>
        </w:rPr>
      </w:pPr>
      <w:r>
        <w:rPr>
          <w:rFonts w:ascii="仿宋" w:hAnsi="仿宋" w:eastAsia="仿宋" w:cs="仿宋"/>
          <w:b/>
          <w:szCs w:val="28"/>
        </w:rPr>
        <w:br w:type="page"/>
      </w:r>
    </w:p>
    <w:p>
      <w:pPr>
        <w:spacing w:after="200" w:line="276" w:lineRule="auto"/>
        <w:rPr>
          <w:rFonts w:ascii="仿宋" w:hAnsi="仿宋" w:eastAsia="仿宋" w:cs="仿宋"/>
          <w:b/>
          <w:szCs w:val="28"/>
        </w:rPr>
      </w:pPr>
      <w:r>
        <w:rPr>
          <w:rFonts w:hint="eastAsia" w:ascii="仿宋" w:hAnsi="仿宋" w:eastAsia="仿宋" w:cs="仿宋"/>
          <w:b/>
          <w:szCs w:val="28"/>
        </w:rPr>
        <w:t>（二）监狱企业证明文件</w:t>
      </w:r>
      <w:bookmarkEnd w:id="308"/>
      <w:bookmarkEnd w:id="309"/>
      <w:bookmarkEnd w:id="310"/>
      <w:bookmarkEnd w:id="311"/>
      <w:bookmarkEnd w:id="312"/>
      <w:bookmarkEnd w:id="313"/>
    </w:p>
    <w:p>
      <w:pPr>
        <w:tabs>
          <w:tab w:val="left" w:pos="6300"/>
        </w:tabs>
        <w:snapToGrid w:val="0"/>
        <w:spacing w:line="500" w:lineRule="exact"/>
        <w:ind w:firstLine="480" w:firstLineChars="200"/>
        <w:rPr>
          <w:rFonts w:ascii="仿宋" w:hAnsi="仿宋" w:eastAsia="仿宋" w:cs="仿宋"/>
          <w:sz w:val="24"/>
        </w:rPr>
      </w:pPr>
      <w:bookmarkStart w:id="314" w:name="_Toc2239"/>
      <w:bookmarkStart w:id="315" w:name="_Toc14440"/>
      <w:bookmarkStart w:id="316" w:name="_Toc28243"/>
      <w:bookmarkStart w:id="317" w:name="_Toc23532"/>
      <w:r>
        <w:rPr>
          <w:rFonts w:hint="eastAsia" w:ascii="仿宋" w:hAnsi="仿宋" w:eastAsia="仿宋" w:cs="仿宋"/>
          <w:sz w:val="24"/>
        </w:rPr>
        <w:t>以省级以上监狱管理局、戒毒管理局（含新疆生产建设兵团）出具的属于监狱企业的证明文件为准。（非监狱企业不提供）</w:t>
      </w:r>
      <w:bookmarkEnd w:id="314"/>
      <w:bookmarkEnd w:id="315"/>
      <w:bookmarkEnd w:id="316"/>
      <w:bookmarkEnd w:id="317"/>
    </w:p>
    <w:p>
      <w:pPr>
        <w:tabs>
          <w:tab w:val="left" w:pos="6300"/>
        </w:tabs>
        <w:snapToGrid w:val="0"/>
        <w:spacing w:line="500" w:lineRule="exact"/>
        <w:ind w:firstLine="480" w:firstLineChars="200"/>
        <w:outlineLvl w:val="0"/>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562" w:firstLineChars="200"/>
        <w:rPr>
          <w:rFonts w:ascii="仿宋" w:hAnsi="仿宋" w:eastAsia="仿宋" w:cs="仿宋"/>
          <w:sz w:val="24"/>
        </w:rPr>
      </w:pPr>
      <w:bookmarkStart w:id="318" w:name="_Toc13712"/>
      <w:bookmarkStart w:id="319" w:name="_Toc29142"/>
      <w:bookmarkStart w:id="320" w:name="_Toc26471"/>
      <w:bookmarkStart w:id="321" w:name="_Toc4581"/>
      <w:bookmarkStart w:id="322" w:name="_Toc24786"/>
      <w:bookmarkStart w:id="323" w:name="_Toc20419"/>
      <w:r>
        <w:rPr>
          <w:rFonts w:hint="eastAsia" w:ascii="仿宋" w:hAnsi="仿宋" w:eastAsia="仿宋" w:cs="仿宋"/>
          <w:b/>
          <w:szCs w:val="28"/>
        </w:rPr>
        <w:t>（三）残疾人福利性单位声明函</w:t>
      </w:r>
      <w:bookmarkEnd w:id="318"/>
      <w:bookmarkEnd w:id="319"/>
      <w:bookmarkEnd w:id="320"/>
      <w:bookmarkEnd w:id="321"/>
      <w:bookmarkEnd w:id="322"/>
      <w:bookmarkEnd w:id="323"/>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jc w:val="center"/>
        <w:rPr>
          <w:rFonts w:ascii="仿宋" w:hAnsi="仿宋" w:eastAsia="仿宋" w:cs="仿宋"/>
          <w:sz w:val="24"/>
        </w:rPr>
      </w:pPr>
      <w:bookmarkStart w:id="324" w:name="_Toc26722"/>
      <w:bookmarkStart w:id="325" w:name="_Toc4239"/>
      <w:bookmarkStart w:id="326" w:name="_Toc14"/>
      <w:bookmarkStart w:id="327" w:name="_Toc11691"/>
      <w:r>
        <w:rPr>
          <w:rFonts w:hint="eastAsia" w:ascii="仿宋" w:hAnsi="仿宋" w:eastAsia="仿宋" w:cs="仿宋"/>
          <w:sz w:val="24"/>
        </w:rPr>
        <w:t>残疾人福利性单位声明函</w:t>
      </w:r>
      <w:bookmarkEnd w:id="324"/>
      <w:bookmarkEnd w:id="325"/>
      <w:bookmarkEnd w:id="326"/>
      <w:bookmarkEnd w:id="327"/>
    </w:p>
    <w:p>
      <w:pPr>
        <w:tabs>
          <w:tab w:val="left" w:pos="6300"/>
        </w:tabs>
        <w:snapToGrid w:val="0"/>
        <w:spacing w:line="500" w:lineRule="exact"/>
        <w:ind w:firstLine="480" w:firstLineChars="200"/>
        <w:rPr>
          <w:rFonts w:ascii="仿宋" w:hAnsi="仿宋" w:eastAsia="仿宋" w:cs="仿宋"/>
          <w:sz w:val="24"/>
        </w:rPr>
      </w:pPr>
      <w:bookmarkStart w:id="328" w:name="_Toc19053"/>
      <w:bookmarkStart w:id="329" w:name="_Toc7370"/>
      <w:bookmarkStart w:id="330" w:name="_Toc1363"/>
      <w:bookmarkStart w:id="331" w:name="_Toc26762"/>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328"/>
      <w:bookmarkEnd w:id="329"/>
      <w:bookmarkEnd w:id="330"/>
      <w:bookmarkEnd w:id="331"/>
    </w:p>
    <w:p>
      <w:pPr>
        <w:tabs>
          <w:tab w:val="left" w:pos="6300"/>
        </w:tabs>
        <w:snapToGrid w:val="0"/>
        <w:spacing w:line="500" w:lineRule="exact"/>
        <w:ind w:firstLine="480" w:firstLineChars="200"/>
        <w:rPr>
          <w:rFonts w:ascii="仿宋" w:hAnsi="仿宋" w:eastAsia="仿宋" w:cs="仿宋"/>
          <w:sz w:val="24"/>
        </w:rPr>
      </w:pPr>
      <w:bookmarkStart w:id="332" w:name="_Toc7550"/>
      <w:bookmarkStart w:id="333" w:name="_Toc542"/>
      <w:bookmarkStart w:id="334" w:name="_Toc4332"/>
      <w:bookmarkStart w:id="335" w:name="_Toc8856"/>
      <w:r>
        <w:rPr>
          <w:rFonts w:hint="eastAsia" w:ascii="仿宋" w:hAnsi="仿宋" w:eastAsia="仿宋" w:cs="仿宋"/>
          <w:sz w:val="24"/>
        </w:rPr>
        <w:t>本单位对上述声明的真实性负责。如有虚假，将依法承担相应责任。（非残疾人福利性单位不提供）</w:t>
      </w:r>
      <w:bookmarkEnd w:id="332"/>
      <w:bookmarkEnd w:id="333"/>
      <w:bookmarkEnd w:id="334"/>
      <w:bookmarkEnd w:id="335"/>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bookmarkStart w:id="336" w:name="_Toc12898"/>
      <w:bookmarkStart w:id="337" w:name="_Toc23415"/>
      <w:bookmarkStart w:id="338" w:name="_Toc492"/>
      <w:bookmarkStart w:id="339" w:name="_Toc1321"/>
      <w:r>
        <w:rPr>
          <w:rFonts w:hint="eastAsia" w:ascii="仿宋" w:hAnsi="仿宋" w:eastAsia="仿宋" w:cs="仿宋"/>
          <w:sz w:val="24"/>
          <w:szCs w:val="24"/>
        </w:rPr>
        <w:t>供应商</w:t>
      </w:r>
      <w:r>
        <w:rPr>
          <w:rFonts w:hint="eastAsia" w:ascii="仿宋" w:hAnsi="仿宋" w:eastAsia="仿宋" w:cs="仿宋"/>
          <w:sz w:val="24"/>
        </w:rPr>
        <w:t>名称（盖章）：</w:t>
      </w:r>
      <w:bookmarkEnd w:id="336"/>
      <w:bookmarkEnd w:id="337"/>
      <w:bookmarkEnd w:id="338"/>
      <w:bookmarkEnd w:id="339"/>
    </w:p>
    <w:p>
      <w:pPr>
        <w:tabs>
          <w:tab w:val="left" w:pos="6300"/>
        </w:tabs>
        <w:snapToGrid w:val="0"/>
        <w:spacing w:line="500" w:lineRule="exact"/>
        <w:ind w:firstLine="480" w:firstLineChars="200"/>
        <w:rPr>
          <w:rFonts w:ascii="仿宋" w:hAnsi="仿宋" w:eastAsia="仿宋" w:cs="仿宋"/>
          <w:sz w:val="24"/>
        </w:rPr>
      </w:pPr>
      <w:bookmarkStart w:id="340" w:name="_Toc13991"/>
      <w:bookmarkStart w:id="341" w:name="_Toc26742"/>
      <w:bookmarkStart w:id="342" w:name="_Toc7980"/>
      <w:bookmarkStart w:id="343" w:name="_Toc22488"/>
      <w:r>
        <w:rPr>
          <w:rFonts w:hint="eastAsia" w:ascii="仿宋" w:hAnsi="仿宋" w:eastAsia="仿宋" w:cs="仿宋"/>
          <w:sz w:val="24"/>
        </w:rPr>
        <w:t>日  期：</w:t>
      </w:r>
      <w:bookmarkEnd w:id="340"/>
      <w:bookmarkEnd w:id="341"/>
      <w:bookmarkEnd w:id="342"/>
      <w:bookmarkEnd w:id="343"/>
    </w:p>
    <w:p>
      <w:pPr>
        <w:tabs>
          <w:tab w:val="left" w:pos="6300"/>
        </w:tabs>
        <w:snapToGrid w:val="0"/>
        <w:spacing w:line="500" w:lineRule="exact"/>
        <w:ind w:firstLine="562" w:firstLineChars="200"/>
        <w:outlineLvl w:val="0"/>
        <w:rPr>
          <w:rFonts w:ascii="仿宋" w:hAnsi="仿宋" w:eastAsia="仿宋" w:cs="仿宋"/>
          <w:b/>
          <w:szCs w:val="28"/>
        </w:rPr>
      </w:pPr>
    </w:p>
    <w:p>
      <w:pPr>
        <w:tabs>
          <w:tab w:val="left" w:pos="6300"/>
        </w:tabs>
        <w:snapToGrid w:val="0"/>
        <w:spacing w:line="500" w:lineRule="exact"/>
        <w:ind w:firstLine="562" w:firstLineChars="200"/>
        <w:rPr>
          <w:rFonts w:ascii="仿宋" w:hAnsi="仿宋" w:eastAsia="仿宋" w:cs="仿宋"/>
          <w:b/>
          <w:szCs w:val="28"/>
        </w:rPr>
      </w:pPr>
      <w:r>
        <w:rPr>
          <w:rFonts w:hint="eastAsia" w:ascii="仿宋" w:hAnsi="仿宋" w:eastAsia="仿宋" w:cs="仿宋"/>
          <w:b/>
          <w:szCs w:val="28"/>
        </w:rPr>
        <w:br w:type="page"/>
      </w:r>
      <w:bookmarkStart w:id="344" w:name="_Toc17024"/>
      <w:bookmarkStart w:id="345" w:name="_Toc9716"/>
      <w:bookmarkStart w:id="346" w:name="_Toc24748"/>
      <w:bookmarkStart w:id="347" w:name="_Toc1571"/>
      <w:bookmarkStart w:id="348" w:name="_Toc32127"/>
      <w:bookmarkStart w:id="349" w:name="_Toc4759"/>
      <w:r>
        <w:rPr>
          <w:rFonts w:hint="eastAsia" w:ascii="仿宋" w:hAnsi="仿宋" w:eastAsia="仿宋" w:cs="仿宋"/>
          <w:b/>
          <w:szCs w:val="28"/>
        </w:rPr>
        <w:t>（四）联合体共同联合协议（如果有）</w:t>
      </w:r>
      <w:bookmarkEnd w:id="344"/>
      <w:bookmarkEnd w:id="345"/>
      <w:bookmarkEnd w:id="346"/>
      <w:bookmarkEnd w:id="347"/>
      <w:bookmarkEnd w:id="348"/>
      <w:bookmarkEnd w:id="349"/>
    </w:p>
    <w:p>
      <w:pPr>
        <w:tabs>
          <w:tab w:val="left" w:pos="6300"/>
        </w:tabs>
        <w:snapToGrid w:val="0"/>
        <w:spacing w:line="500" w:lineRule="exact"/>
        <w:ind w:firstLine="562" w:firstLineChars="200"/>
        <w:outlineLvl w:val="0"/>
        <w:rPr>
          <w:rFonts w:ascii="仿宋" w:hAnsi="仿宋" w:eastAsia="仿宋" w:cs="仿宋"/>
          <w:b/>
          <w:szCs w:val="28"/>
        </w:rPr>
      </w:pPr>
      <w:r>
        <w:rPr>
          <w:rFonts w:hint="eastAsia" w:ascii="仿宋" w:hAnsi="仿宋" w:eastAsia="仿宋" w:cs="仿宋"/>
          <w:b/>
          <w:szCs w:val="28"/>
        </w:rPr>
        <w:br w:type="page"/>
      </w:r>
    </w:p>
    <w:p>
      <w:pPr>
        <w:tabs>
          <w:tab w:val="left" w:pos="6300"/>
        </w:tabs>
        <w:snapToGrid w:val="0"/>
        <w:spacing w:line="500" w:lineRule="exact"/>
        <w:ind w:firstLine="562" w:firstLineChars="200"/>
        <w:rPr>
          <w:rFonts w:ascii="仿宋" w:hAnsi="仿宋" w:eastAsia="仿宋" w:cs="仿宋"/>
          <w:b/>
          <w:szCs w:val="28"/>
        </w:rPr>
      </w:pPr>
      <w:bookmarkStart w:id="350" w:name="_Toc16190"/>
      <w:bookmarkStart w:id="351" w:name="_Toc6897"/>
      <w:bookmarkStart w:id="352" w:name="_Toc245"/>
      <w:bookmarkStart w:id="353" w:name="_Toc26286"/>
      <w:bookmarkStart w:id="354" w:name="_Toc28666"/>
      <w:bookmarkStart w:id="355" w:name="_Toc20371"/>
      <w:r>
        <w:rPr>
          <w:rFonts w:hint="eastAsia" w:ascii="仿宋" w:hAnsi="仿宋" w:eastAsia="仿宋" w:cs="仿宋"/>
          <w:b/>
          <w:szCs w:val="28"/>
        </w:rPr>
        <w:t>（五）其他资料</w:t>
      </w:r>
      <w:bookmarkEnd w:id="350"/>
      <w:bookmarkEnd w:id="351"/>
      <w:bookmarkEnd w:id="352"/>
      <w:bookmarkEnd w:id="353"/>
      <w:bookmarkEnd w:id="354"/>
      <w:bookmarkEnd w:id="355"/>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2、其他与项目有关的资料（自附）：供应商总体情况介绍、其他与本项目有关的资料等。</w:t>
      </w: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（结束）</w:t>
      </w:r>
    </w:p>
    <w:p>
      <w:pPr>
        <w:spacing w:line="360" w:lineRule="auto"/>
        <w:outlineLvl w:val="1"/>
      </w:pPr>
    </w:p>
    <w:sectPr>
      <w:headerReference r:id="rId6"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422CF4-7701-439F-B5C7-26767440EF62}"/>
  </w:font>
  <w:font w:name="Arial">
    <w:panose1 w:val="020B0604020202020204"/>
    <w:charset w:val="01"/>
    <w:family w:val="swiss"/>
    <w:pitch w:val="default"/>
    <w:sig w:usb0="E0002EFF" w:usb1="C000785B" w:usb2="00000009" w:usb3="00000000" w:csb0="400001FF" w:csb1="FFFF0000"/>
    <w:embedRegular r:id="rId2" w:fontKey="{36345E87-B3C5-47E4-9C19-B8CFCE4FBEE0}"/>
  </w:font>
  <w:font w:name="黑体">
    <w:panose1 w:val="02010609060101010101"/>
    <w:charset w:val="86"/>
    <w:family w:val="auto"/>
    <w:pitch w:val="default"/>
    <w:sig w:usb0="800002BF" w:usb1="38CF7CFA" w:usb2="00000016" w:usb3="00000000" w:csb0="00040001" w:csb1="00000000"/>
    <w:embedRegular r:id="rId3" w:fontKey="{8292BAA4-AD7C-4B7F-87AF-457E6074DE8B}"/>
  </w:font>
  <w:font w:name="Courier New">
    <w:panose1 w:val="02070309020205020404"/>
    <w:charset w:val="01"/>
    <w:family w:val="modern"/>
    <w:pitch w:val="default"/>
    <w:sig w:usb0="E0002EFF" w:usb1="C0007843" w:usb2="00000009" w:usb3="00000000" w:csb0="400001FF" w:csb1="FFFF0000"/>
    <w:embedRegular r:id="rId4" w:fontKey="{9036B98F-0EB8-4EFE-A080-36109E2B5C78}"/>
  </w:font>
  <w:font w:name="Symbol">
    <w:panose1 w:val="05050102010706020507"/>
    <w:charset w:val="02"/>
    <w:family w:val="roman"/>
    <w:pitch w:val="default"/>
    <w:sig w:usb0="00000000" w:usb1="00000000" w:usb2="00000000" w:usb3="00000000" w:csb0="80000000" w:csb1="00000000"/>
    <w:embedRegular r:id="rId5" w:fontKey="{AAF01A43-EFA4-4652-854E-52E88320E574}"/>
  </w:font>
  <w:font w:name="Calibri">
    <w:panose1 w:val="020F0502020204030204"/>
    <w:charset w:val="00"/>
    <w:family w:val="swiss"/>
    <w:pitch w:val="default"/>
    <w:sig w:usb0="E4002EFF" w:usb1="C000247B" w:usb2="00000009" w:usb3="00000000" w:csb0="200001FF" w:csb1="00000000"/>
    <w:embedRegular r:id="rId6" w:fontKey="{D25D07DC-80F2-4281-82EB-26BE629FE0ED}"/>
  </w:font>
  <w:font w:name="仿宋_GB2312">
    <w:panose1 w:val="02010609030101010101"/>
    <w:charset w:val="86"/>
    <w:family w:val="modern"/>
    <w:pitch w:val="default"/>
    <w:sig w:usb0="00000001" w:usb1="080E0000" w:usb2="00000000" w:usb3="00000000" w:csb0="00040000" w:csb1="00000000"/>
    <w:embedRegular r:id="rId7" w:fontKey="{4260946E-2012-448B-A39B-F2BCB8A8F48D}"/>
  </w:font>
  <w:font w:name="仿宋">
    <w:panose1 w:val="02010609060101010101"/>
    <w:charset w:val="86"/>
    <w:family w:val="modern"/>
    <w:pitch w:val="default"/>
    <w:sig w:usb0="800002BF" w:usb1="38CF7CFA" w:usb2="00000016" w:usb3="00000000" w:csb0="00040001" w:csb1="00000000"/>
    <w:embedRegular r:id="rId8" w:fontKey="{863A1A10-9C3B-4033-9586-58EA7C17E3DC}"/>
  </w:font>
  <w:font w:name="Cambria">
    <w:panose1 w:val="02040503050406030204"/>
    <w:charset w:val="00"/>
    <w:family w:val="roman"/>
    <w:pitch w:val="default"/>
    <w:sig w:usb0="E00006FF" w:usb1="420024FF" w:usb2="02000000" w:usb3="00000000" w:csb0="2000019F" w:csb1="00000000"/>
    <w:embedRegular r:id="rId9" w:fontKey="{37F4C8CC-4F79-4970-8E52-9A95A2B01DAA}"/>
  </w:font>
  <w:font w:name="方正小标宋_GBK">
    <w:panose1 w:val="03000509000000000000"/>
    <w:charset w:val="86"/>
    <w:family w:val="script"/>
    <w:pitch w:val="default"/>
    <w:sig w:usb0="00000001" w:usb1="080E0000" w:usb2="00000000" w:usb3="00000000" w:csb0="00040000" w:csb1="00000000"/>
    <w:embedRegular r:id="rId10" w:fontKey="{ECB2FAB4-D81F-4E87-8D99-A6E506DCD5EA}"/>
  </w:font>
  <w:font w:name="方正仿宋_GBK">
    <w:panose1 w:val="03000509000000000000"/>
    <w:charset w:val="86"/>
    <w:family w:val="script"/>
    <w:pitch w:val="default"/>
    <w:sig w:usb0="00000000" w:usb1="00000000" w:usb2="00000000" w:usb3="00000000" w:csb0="00000000" w:csb1="00000000"/>
    <w:embedRegular r:id="rId11" w:fontKey="{901A4F3D-EE27-429F-83FC-EBDF054B7C0B}"/>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14935" cy="131445"/>
              <wp:effectExtent l="0" t="0" r="0" b="1905"/>
              <wp:wrapNone/>
              <wp:docPr id="3" name="4097"/>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11"/>
                          </w:pPr>
                        </w:p>
                      </w:txbxContent>
                    </wps:txbx>
                    <wps:bodyPr rot="0" vert="horz" wrap="none" lIns="0" tIns="0" rIns="0" bIns="0" anchor="t" anchorCtr="0" upright="1">
                      <a:spAutoFit/>
                    </wps:bodyPr>
                  </wps:wsp>
                </a:graphicData>
              </a:graphic>
            </wp:anchor>
          </w:drawing>
        </mc:Choice>
        <mc:Fallback>
          <w:pict>
            <v:rect id="4097" o:spid="_x0000_s1026" o:spt="1" style="position:absolute;left:0pt;margin-top:0pt;height:10.35pt;width:9.05pt;mso-position-horizontal:center;mso-position-horizontal-relative:margin;mso-wrap-style:none;z-index:10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SwtAAAAADAQAADwAAAAAAAAABACAAAAAiAAAAZHJzL2Rvd25yZXYueG1sUEsBAhQAFAAAAAgA&#10;h07iQNk94pn0AQAA8QMAAA4AAAAAAAAAAQAgAAAAHwEAAGRycy9lMm9Eb2MueG1sUEsFBgAAAAAG&#10;AAYAWQEAAIUFAAAAAA==&#10;">
              <v:fill on="f" focussize="0,0"/>
              <v:stroke on="f"/>
              <v:imagedata o:title=""/>
              <o:lock v:ext="edit" aspectratio="f"/>
              <v:textbox inset="0mm,0mm,0mm,0mm" style="mso-fit-shape-to-text:t;">
                <w:txbxContent>
                  <w:p>
                    <w:pPr>
                      <w:pStyle w:val="11"/>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247650" cy="131445"/>
              <wp:effectExtent l="0" t="0" r="0" b="1905"/>
              <wp:wrapNone/>
              <wp:docPr id="2" name="4098"/>
              <wp:cNvGraphicFramePr/>
              <a:graphic xmlns:a="http://schemas.openxmlformats.org/drawingml/2006/main">
                <a:graphicData uri="http://schemas.microsoft.com/office/word/2010/wordprocessingShape">
                  <wps:wsp>
                    <wps:cNvSpPr>
                      <a:spLocks noChangeArrowheads="1"/>
                    </wps:cNvSpPr>
                    <wps:spPr bwMode="auto">
                      <a:xfrm>
                        <a:off x="0" y="0"/>
                        <a:ext cx="247650" cy="131445"/>
                      </a:xfrm>
                      <a:prstGeom prst="rect">
                        <a:avLst/>
                      </a:prstGeom>
                      <a:noFill/>
                      <a:ln>
                        <a:noFill/>
                      </a:ln>
                    </wps:spPr>
                    <wps:txbx>
                      <w:txbxContent>
                        <w:p>
                          <w:pPr>
                            <w:pStyle w:val="11"/>
                          </w:pPr>
                          <w:r>
                            <w:fldChar w:fldCharType="begin"/>
                          </w:r>
                          <w:r>
                            <w:instrText xml:space="preserve"> PAGE  \* MERGEFORMAT </w:instrText>
                          </w:r>
                          <w:r>
                            <w:fldChar w:fldCharType="separate"/>
                          </w:r>
                          <w:r>
                            <w:t>- 20 -</w:t>
                          </w:r>
                          <w:r>
                            <w:fldChar w:fldCharType="end"/>
                          </w:r>
                        </w:p>
                      </w:txbxContent>
                    </wps:txbx>
                    <wps:bodyPr rot="0" vert="horz" wrap="none" lIns="0" tIns="0" rIns="0" bIns="0" anchor="t" anchorCtr="0" upright="1">
                      <a:spAutoFit/>
                    </wps:bodyPr>
                  </wps:wsp>
                </a:graphicData>
              </a:graphic>
            </wp:anchor>
          </w:drawing>
        </mc:Choice>
        <mc:Fallback>
          <w:pict>
            <v:rect id="4098" o:spid="_x0000_s1026" o:spt="1" style="position:absolute;left:0pt;margin-top:0pt;height:10.35pt;width:19.5pt;mso-position-horizontal:center;mso-position-horizontal-relative:margin;mso-wrap-style:none;z-index:1024;mso-width-relative:page;mso-height-relative:page;" filled="f" stroked="f" coordsize="21600,21600"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Dr5GvRAAAAAwEAAA8AAAAAAAAAAQAgAAAAIgAAAGRycy9kb3ducmV2LnhtbFBLAQIUABQAAAAI&#10;AIdO4kCxU7oV9AEAAPEDAAAOAAAAAAAAAAEAIAAAACABAABkcnMvZTJvRG9jLnhtbFBLBQYAAAAA&#10;BgAGAFkBAACG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- 20 -</w:t>
                    </w:r>
                    <w:r>
                      <w:fldChar w:fldCharType="end"/>
                    </w:r>
                  </w:p>
                </w:txbxContent>
              </v:textbox>
            </v:rect>
          </w:pict>
        </mc:Fallback>
      </mc:AlternateContent>
    </w:r>
    <w: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14935" cy="131445"/>
              <wp:effectExtent l="0" t="0" r="0" b="1905"/>
              <wp:wrapNone/>
              <wp:docPr id="1" name="4099"/>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pPr>
                            <w:pStyle w:val="11"/>
                          </w:pPr>
                        </w:p>
                      </w:txbxContent>
                    </wps:txbx>
                    <wps:bodyPr rot="0" vert="horz" wrap="none" lIns="0" tIns="0" rIns="0" bIns="0" anchor="t" anchorCtr="0" upright="1">
                      <a:spAutoFit/>
                    </wps:bodyPr>
                  </wps:wsp>
                </a:graphicData>
              </a:graphic>
            </wp:anchor>
          </w:drawing>
        </mc:Choice>
        <mc:Fallback>
          <w:pict>
            <v:rect id="4099" o:spid="_x0000_s1026" o:spt="1" style="position:absolute;left:0pt;margin-top:0pt;height:10.35pt;width:9.05pt;mso-position-horizontal:center;mso-position-horizontal-relative:margin;mso-wrap-style:none;z-index:1024;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v9LC0AAAAAMBAAAPAAAAAAAAAAEAIAAAACIAAABkcnMvZG93bnJldi54bWxQSwECFAAUAAAACACH&#10;TuJA3reegPMBAADxAwAADgAAAAAAAAABACAAAAAfAQAAZHJzL2Uyb0RvYy54bWxQSwUGAAAAAAYA&#10;BgBZAQAAhAUAAAAA&#10;">
              <v:fill on="f" focussize="0,0"/>
              <v:stroke on="f"/>
              <v:imagedata o:title=""/>
              <o:lock v:ext="edit" aspectratio="f"/>
              <v:textbox inset="0mm,0mm,0mm,0mm" style="mso-fit-shape-to-text:t;">
                <w:txbxContent>
                  <w:p>
                    <w:pPr>
                      <w:pStyle w:val="11"/>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after="200" w:line="276" w:lineRule="auto"/>
      <w:jc w:val="center"/>
      <w:rPr>
        <w:sz w:val="18"/>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0" w:firstLine="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2"/>
    <w:multiLevelType w:val="singleLevel"/>
    <w:tmpl w:val="00000002"/>
    <w:lvl w:ilvl="0" w:tentative="0">
      <w:start w:val="1"/>
      <w:numFmt w:val="chineseCounting"/>
      <w:suff w:val="nothing"/>
      <w:lvlText w:val="%1、"/>
      <w:lvlJc w:val="left"/>
      <w:rPr>
        <w:rFonts w:hint="eastAsia"/>
        <w:lang w:val="en-US"/>
      </w:rPr>
    </w:lvl>
  </w:abstractNum>
  <w:abstractNum w:abstractNumId="2">
    <w:nsid w:val="0FC05D07"/>
    <w:multiLevelType w:val="singleLevel"/>
    <w:tmpl w:val="0FC05D07"/>
    <w:lvl w:ilvl="0" w:tentative="0">
      <w:start w:val="3"/>
      <w:numFmt w:val="chineseCounting"/>
      <w:suff w:val="space"/>
      <w:lvlText w:val="第%1篇"/>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6D1"/>
    <w:rsid w:val="00196FCA"/>
    <w:rsid w:val="001C39FA"/>
    <w:rsid w:val="002656D1"/>
    <w:rsid w:val="003038BB"/>
    <w:rsid w:val="003F7155"/>
    <w:rsid w:val="004E39BD"/>
    <w:rsid w:val="00516532"/>
    <w:rsid w:val="005C3C72"/>
    <w:rsid w:val="00615DC4"/>
    <w:rsid w:val="006B0CB7"/>
    <w:rsid w:val="008419F7"/>
    <w:rsid w:val="00D10FB1"/>
    <w:rsid w:val="00E226F3"/>
    <w:rsid w:val="00F915BC"/>
    <w:rsid w:val="0D455B34"/>
    <w:rsid w:val="181F4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2"/>
    <w:basedOn w:val="1"/>
    <w:next w:val="1"/>
    <w:link w:val="25"/>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firstLineChars="200"/>
    </w:pPr>
  </w:style>
  <w:style w:type="paragraph" w:styleId="3">
    <w:name w:val="Body Text Indent"/>
    <w:basedOn w:val="1"/>
    <w:link w:val="26"/>
    <w:qFormat/>
    <w:uiPriority w:val="99"/>
    <w:pPr>
      <w:spacing w:line="700" w:lineRule="exact"/>
      <w:ind w:left="960"/>
    </w:pPr>
    <w:rPr>
      <w:sz w:val="44"/>
    </w:rPr>
  </w:style>
  <w:style w:type="paragraph" w:styleId="5">
    <w:name w:val="Body Text"/>
    <w:basedOn w:val="1"/>
    <w:qFormat/>
    <w:uiPriority w:val="0"/>
    <w:rPr>
      <w:rFonts w:ascii="仿宋_GB2312" w:eastAsia="仿宋_GB2312"/>
      <w:sz w:val="32"/>
    </w:rPr>
  </w:style>
  <w:style w:type="paragraph" w:styleId="6">
    <w:name w:val="toc 3"/>
    <w:basedOn w:val="1"/>
    <w:next w:val="1"/>
    <w:qFormat/>
    <w:uiPriority w:val="39"/>
    <w:pPr>
      <w:ind w:left="840" w:leftChars="400"/>
    </w:pPr>
  </w:style>
  <w:style w:type="paragraph" w:styleId="7">
    <w:name w:val="Plain Text"/>
    <w:basedOn w:val="1"/>
    <w:qFormat/>
    <w:uiPriority w:val="0"/>
    <w:rPr>
      <w:rFonts w:ascii="宋体" w:hAnsi="Courier New"/>
      <w:sz w:val="21"/>
    </w:rPr>
  </w:style>
  <w:style w:type="paragraph" w:styleId="8">
    <w:name w:val="Date"/>
    <w:basedOn w:val="1"/>
    <w:next w:val="1"/>
    <w:qFormat/>
    <w:uiPriority w:val="0"/>
  </w:style>
  <w:style w:type="paragraph" w:styleId="9">
    <w:name w:val="Body Text Indent 2"/>
    <w:basedOn w:val="1"/>
    <w:link w:val="24"/>
    <w:qFormat/>
    <w:uiPriority w:val="0"/>
    <w:pPr>
      <w:spacing w:after="120" w:line="480" w:lineRule="auto"/>
      <w:ind w:left="420" w:leftChars="200"/>
    </w:pPr>
  </w:style>
  <w:style w:type="paragraph" w:styleId="10">
    <w:name w:val="Balloon Text"/>
    <w:basedOn w:val="1"/>
    <w:link w:val="22"/>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toc 1"/>
    <w:basedOn w:val="1"/>
    <w:next w:val="1"/>
    <w:qFormat/>
    <w:uiPriority w:val="39"/>
    <w:pPr>
      <w:spacing w:line="180" w:lineRule="auto"/>
      <w:jc w:val="center"/>
    </w:pPr>
    <w:rPr>
      <w:sz w:val="30"/>
    </w:rPr>
  </w:style>
  <w:style w:type="paragraph" w:styleId="14">
    <w:name w:val="toc 2"/>
    <w:basedOn w:val="1"/>
    <w:next w:val="1"/>
    <w:qFormat/>
    <w:uiPriority w:val="39"/>
    <w:pPr>
      <w:ind w:left="420" w:leftChars="200"/>
    </w:pPr>
  </w:style>
  <w:style w:type="character" w:styleId="17">
    <w:name w:val="Hyperlink"/>
    <w:basedOn w:val="16"/>
    <w:qFormat/>
    <w:uiPriority w:val="99"/>
    <w:rPr>
      <w:color w:val="0563C1"/>
      <w:u w:val="single"/>
    </w:rPr>
  </w:style>
  <w:style w:type="character" w:customStyle="1" w:styleId="18">
    <w:name w:val="para1"/>
    <w:qFormat/>
    <w:uiPriority w:val="0"/>
    <w:rPr>
      <w:rFonts w:hint="default" w:ascii="Symbol" w:hAnsi="Symbol" w:cs="Symbol"/>
      <w:sz w:val="18"/>
      <w:szCs w:val="18"/>
    </w:rPr>
  </w:style>
  <w:style w:type="paragraph" w:customStyle="1" w:styleId="19">
    <w:name w:val="1"/>
    <w:basedOn w:val="1"/>
    <w:next w:val="7"/>
    <w:qFormat/>
    <w:uiPriority w:val="0"/>
    <w:rPr>
      <w:rFonts w:ascii="宋体" w:hAnsi="Courier New"/>
      <w:sz w:val="21"/>
    </w:rPr>
  </w:style>
  <w:style w:type="paragraph" w:customStyle="1" w:styleId="20">
    <w:name w:val="p0"/>
    <w:basedOn w:val="1"/>
    <w:qFormat/>
    <w:uiPriority w:val="0"/>
    <w:pPr>
      <w:widowControl/>
    </w:pPr>
    <w:rPr>
      <w:kern w:val="0"/>
      <w:sz w:val="20"/>
      <w:szCs w:val="21"/>
    </w:rPr>
  </w:style>
  <w:style w:type="paragraph" w:customStyle="1" w:styleId="21">
    <w:name w:val="图例"/>
    <w:basedOn w:val="1"/>
    <w:qFormat/>
    <w:uiPriority w:val="0"/>
    <w:pPr>
      <w:spacing w:before="120" w:after="120" w:line="360" w:lineRule="auto"/>
      <w:jc w:val="center"/>
    </w:pPr>
    <w:rPr>
      <w:rFonts w:eastAsia="仿宋_GB2312"/>
      <w:b/>
      <w:sz w:val="24"/>
    </w:rPr>
  </w:style>
  <w:style w:type="character" w:customStyle="1" w:styleId="22">
    <w:name w:val="批注框文本 Char"/>
    <w:basedOn w:val="16"/>
    <w:link w:val="10"/>
    <w:qFormat/>
    <w:uiPriority w:val="0"/>
    <w:rPr>
      <w:kern w:val="2"/>
      <w:sz w:val="18"/>
      <w:szCs w:val="18"/>
    </w:rPr>
  </w:style>
  <w:style w:type="paragraph" w:customStyle="1" w:styleId="23">
    <w:name w:val="List Paragraph_cb2a3d31-4424-41b8-a853-33156c39af94"/>
    <w:basedOn w:val="1"/>
    <w:qFormat/>
    <w:uiPriority w:val="34"/>
    <w:pPr>
      <w:ind w:firstLine="420" w:firstLineChars="200"/>
    </w:pPr>
  </w:style>
  <w:style w:type="character" w:customStyle="1" w:styleId="24">
    <w:name w:val="正文文本缩进 2 Char"/>
    <w:basedOn w:val="16"/>
    <w:link w:val="9"/>
    <w:qFormat/>
    <w:uiPriority w:val="0"/>
    <w:rPr>
      <w:kern w:val="2"/>
      <w:sz w:val="28"/>
    </w:rPr>
  </w:style>
  <w:style w:type="character" w:customStyle="1" w:styleId="25">
    <w:name w:val="标题 2 Char"/>
    <w:link w:val="4"/>
    <w:qFormat/>
    <w:uiPriority w:val="0"/>
    <w:rPr>
      <w:rFonts w:ascii="Arial" w:hAnsi="Arial" w:eastAsia="黑体"/>
      <w:b/>
      <w:kern w:val="2"/>
      <w:sz w:val="32"/>
    </w:rPr>
  </w:style>
  <w:style w:type="character" w:customStyle="1" w:styleId="26">
    <w:name w:val="正文文本缩进 Char"/>
    <w:basedOn w:val="16"/>
    <w:link w:val="3"/>
    <w:qFormat/>
    <w:uiPriority w:val="99"/>
    <w:rPr>
      <w:kern w:val="2"/>
      <w:sz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重庆化工职业学院</Company>
  <Pages>51</Pages>
  <Words>4536</Words>
  <Characters>25859</Characters>
  <Lines>215</Lines>
  <Paragraphs>60</Paragraphs>
  <TotalTime>57</TotalTime>
  <ScaleCrop>false</ScaleCrop>
  <LinksUpToDate>false</LinksUpToDate>
  <CharactersWithSpaces>30335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2021-08-26T06:55:00Z</dcterms:created>
  <dc:creator>hp</dc:creator>
  <cp:lastModifiedBy>limitless</cp:lastModifiedBy>
  <cp:lastPrinted>2021-08-31T06:39:00Z</cp:lastPrinted>
  <dcterms:modified xsi:type="dcterms:W3CDTF">2021-09-09T12:09:19Z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