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s="仿宋"/>
        </w:rPr>
      </w:pPr>
    </w:p>
    <w:p>
      <w:pPr>
        <w:jc w:val="center"/>
        <w:rPr>
          <w:rFonts w:ascii="仿宋" w:hAnsi="仿宋" w:eastAsia="仿宋" w:cs="仿宋"/>
        </w:rPr>
      </w:pPr>
    </w:p>
    <w:p>
      <w:pPr>
        <w:jc w:val="center"/>
        <w:rPr>
          <w:rFonts w:ascii="仿宋" w:hAnsi="仿宋" w:eastAsia="仿宋" w:cs="仿宋"/>
        </w:rPr>
      </w:pPr>
    </w:p>
    <w:p>
      <w:pPr>
        <w:jc w:val="center"/>
        <w:rPr>
          <w:rFonts w:ascii="仿宋" w:hAnsi="仿宋" w:eastAsia="仿宋" w:cs="仿宋"/>
        </w:rPr>
      </w:pPr>
    </w:p>
    <w:p>
      <w:pPr>
        <w:jc w:val="center"/>
        <w:rPr>
          <w:rFonts w:ascii="仿宋" w:hAnsi="仿宋" w:eastAsia="仿宋" w:cs="仿宋"/>
          <w:sz w:val="112"/>
          <w:szCs w:val="112"/>
        </w:rPr>
      </w:pPr>
      <w:bookmarkStart w:id="0" w:name="_Toc493506315"/>
      <w:bookmarkStart w:id="1" w:name="_Toc12789072"/>
      <w:r>
        <w:rPr>
          <w:rFonts w:hint="eastAsia" w:ascii="仿宋" w:hAnsi="仿宋" w:eastAsia="仿宋" w:cs="仿宋"/>
          <w:sz w:val="112"/>
          <w:szCs w:val="112"/>
        </w:rPr>
        <w:t>竞争性磋商文件</w:t>
      </w:r>
    </w:p>
    <w:p>
      <w:pPr>
        <w:spacing w:line="700" w:lineRule="exact"/>
        <w:jc w:val="center"/>
        <w:rPr>
          <w:rFonts w:ascii="仿宋" w:hAnsi="仿宋" w:eastAsia="仿宋" w:cs="仿宋"/>
          <w:sz w:val="32"/>
        </w:rPr>
      </w:pPr>
    </w:p>
    <w:p>
      <w:pPr>
        <w:spacing w:line="700" w:lineRule="exact"/>
        <w:jc w:val="center"/>
        <w:rPr>
          <w:rFonts w:ascii="仿宋" w:hAnsi="仿宋" w:eastAsia="仿宋" w:cs="仿宋"/>
          <w:sz w:val="32"/>
        </w:rPr>
      </w:pPr>
    </w:p>
    <w:p>
      <w:pPr>
        <w:spacing w:line="500" w:lineRule="exact"/>
        <w:rPr>
          <w:rFonts w:ascii="仿宋" w:hAnsi="仿宋" w:eastAsia="仿宋" w:cs="仿宋"/>
          <w:sz w:val="32"/>
        </w:rPr>
      </w:pPr>
    </w:p>
    <w:p>
      <w:pPr>
        <w:spacing w:line="500" w:lineRule="exact"/>
        <w:rPr>
          <w:rFonts w:ascii="仿宋" w:hAnsi="仿宋" w:eastAsia="仿宋" w:cs="仿宋"/>
          <w:sz w:val="32"/>
        </w:rPr>
      </w:pPr>
    </w:p>
    <w:p>
      <w:pPr>
        <w:ind w:firstLine="1800" w:firstLineChars="500"/>
        <w:rPr>
          <w:rFonts w:ascii="Cambria" w:hAnsi="Cambria" w:eastAsia="方正小标宋_GBK" w:cs="宋体"/>
          <w:sz w:val="32"/>
        </w:rPr>
      </w:pPr>
      <w:r>
        <w:rPr>
          <w:rFonts w:hint="eastAsia" w:ascii="仿宋" w:hAnsi="仿宋" w:eastAsia="仿宋" w:cs="仿宋"/>
          <w:sz w:val="36"/>
          <w:szCs w:val="30"/>
        </w:rPr>
        <w:t>项 目 编 号 ：</w:t>
      </w:r>
      <w:bookmarkStart w:id="2" w:name="_Hlk88742344"/>
      <w:r>
        <w:rPr>
          <w:rFonts w:hint="eastAsia" w:ascii="仿宋" w:hAnsi="仿宋" w:eastAsia="仿宋" w:cs="仿宋"/>
          <w:sz w:val="36"/>
          <w:szCs w:val="30"/>
        </w:rPr>
        <w:t>C</w:t>
      </w:r>
      <w:r>
        <w:rPr>
          <w:rFonts w:ascii="仿宋" w:hAnsi="仿宋" w:eastAsia="仿宋" w:cs="仿宋"/>
          <w:sz w:val="36"/>
          <w:szCs w:val="30"/>
        </w:rPr>
        <w:t>QHGZYXY-202138</w:t>
      </w:r>
      <w:bookmarkEnd w:id="2"/>
    </w:p>
    <w:p>
      <w:pPr>
        <w:pStyle w:val="15"/>
        <w:spacing w:line="240" w:lineRule="auto"/>
      </w:pPr>
    </w:p>
    <w:p>
      <w:pPr>
        <w:widowControl/>
        <w:shd w:val="clear" w:color="auto" w:fill="FFFFFF"/>
        <w:jc w:val="center"/>
        <w:rPr>
          <w:rFonts w:ascii="仿宋" w:hAnsi="仿宋" w:eastAsia="仿宋" w:cs="仿宋"/>
          <w:sz w:val="36"/>
          <w:szCs w:val="30"/>
        </w:rPr>
      </w:pPr>
      <w:r>
        <w:rPr>
          <w:rFonts w:hint="eastAsia" w:ascii="仿宋" w:hAnsi="仿宋" w:eastAsia="仿宋" w:cs="仿宋"/>
          <w:sz w:val="36"/>
          <w:szCs w:val="30"/>
        </w:rPr>
        <w:t>项 目 名 称 ：2021年校方责任险</w:t>
      </w:r>
    </w:p>
    <w:p>
      <w:pPr>
        <w:jc w:val="center"/>
        <w:rPr>
          <w:rFonts w:ascii="仿宋" w:hAnsi="仿宋" w:eastAsia="仿宋" w:cs="仿宋"/>
          <w:sz w:val="48"/>
          <w:szCs w:val="48"/>
        </w:rPr>
      </w:pPr>
    </w:p>
    <w:p>
      <w:pPr>
        <w:jc w:val="center"/>
        <w:rPr>
          <w:rFonts w:ascii="仿宋" w:hAnsi="仿宋" w:eastAsia="仿宋" w:cs="仿宋"/>
          <w:b/>
          <w:sz w:val="48"/>
          <w:szCs w:val="48"/>
        </w:rPr>
      </w:pPr>
    </w:p>
    <w:p>
      <w:pPr>
        <w:spacing w:line="700" w:lineRule="exact"/>
        <w:rPr>
          <w:rFonts w:ascii="仿宋" w:hAnsi="仿宋" w:eastAsia="仿宋" w:cs="仿宋"/>
          <w:b/>
          <w:sz w:val="30"/>
          <w:szCs w:val="30"/>
        </w:rPr>
      </w:pPr>
    </w:p>
    <w:p>
      <w:pPr>
        <w:spacing w:line="700" w:lineRule="exact"/>
        <w:rPr>
          <w:rFonts w:ascii="仿宋" w:hAnsi="仿宋" w:eastAsia="仿宋" w:cs="仿宋"/>
          <w:b/>
          <w:sz w:val="30"/>
          <w:szCs w:val="30"/>
        </w:rPr>
      </w:pPr>
    </w:p>
    <w:p>
      <w:pPr>
        <w:pStyle w:val="7"/>
      </w:pPr>
    </w:p>
    <w:p>
      <w:pPr>
        <w:pStyle w:val="7"/>
      </w:pPr>
    </w:p>
    <w:p>
      <w:pPr>
        <w:ind w:firstLine="2520" w:firstLineChars="700"/>
        <w:rPr>
          <w:rFonts w:ascii="仿宋" w:hAnsi="仿宋" w:eastAsia="仿宋" w:cs="仿宋"/>
          <w:sz w:val="48"/>
          <w:szCs w:val="32"/>
        </w:rPr>
      </w:pPr>
      <w:r>
        <w:rPr>
          <w:rFonts w:hint="eastAsia" w:ascii="仿宋" w:hAnsi="仿宋" w:eastAsia="仿宋" w:cs="仿宋"/>
          <w:sz w:val="36"/>
          <w:szCs w:val="30"/>
        </w:rPr>
        <w:t>采购人：重庆化工职业学院</w:t>
      </w:r>
    </w:p>
    <w:p>
      <w:pPr>
        <w:spacing w:line="720" w:lineRule="exact"/>
        <w:jc w:val="center"/>
        <w:rPr>
          <w:rFonts w:ascii="仿宋" w:hAnsi="仿宋" w:eastAsia="仿宋" w:cs="仿宋"/>
          <w:sz w:val="48"/>
          <w:szCs w:val="32"/>
        </w:rPr>
      </w:pPr>
    </w:p>
    <w:p>
      <w:pPr>
        <w:spacing w:line="720" w:lineRule="exact"/>
        <w:jc w:val="center"/>
        <w:rPr>
          <w:rFonts w:ascii="仿宋" w:hAnsi="仿宋" w:eastAsia="仿宋" w:cs="仿宋"/>
          <w:sz w:val="44"/>
          <w:szCs w:val="28"/>
        </w:rPr>
      </w:pPr>
      <w:r>
        <w:rPr>
          <w:rFonts w:hint="eastAsia" w:ascii="仿宋" w:hAnsi="仿宋" w:eastAsia="仿宋" w:cs="仿宋"/>
          <w:sz w:val="48"/>
          <w:szCs w:val="32"/>
        </w:rPr>
        <w:t>二〇二一年十一月</w:t>
      </w:r>
    </w:p>
    <w:p>
      <w:pPr>
        <w:spacing w:line="480" w:lineRule="exact"/>
        <w:rPr>
          <w:rFonts w:ascii="仿宋" w:hAnsi="仿宋" w:eastAsia="仿宋" w:cs="仿宋"/>
          <w:sz w:val="44"/>
          <w:szCs w:val="28"/>
        </w:rPr>
        <w:sectPr>
          <w:pgSz w:w="11907" w:h="16840"/>
          <w:pgMar w:top="1134" w:right="1191" w:bottom="1134" w:left="1304" w:header="964" w:footer="992" w:gutter="0"/>
          <w:pgNumType w:fmt="numberInDash"/>
          <w:cols w:space="720" w:num="1"/>
        </w:sectPr>
      </w:pPr>
    </w:p>
    <w:p>
      <w:pPr>
        <w:spacing w:line="480" w:lineRule="exact"/>
        <w:jc w:val="center"/>
        <w:rPr>
          <w:rFonts w:ascii="仿宋" w:hAnsi="仿宋" w:eastAsia="仿宋" w:cs="仿宋"/>
          <w:sz w:val="44"/>
          <w:szCs w:val="28"/>
        </w:rPr>
      </w:pPr>
      <w:r>
        <w:rPr>
          <w:rFonts w:hint="eastAsia" w:ascii="仿宋" w:hAnsi="仿宋" w:eastAsia="仿宋" w:cs="仿宋"/>
          <w:sz w:val="44"/>
          <w:szCs w:val="28"/>
        </w:rPr>
        <w:t>目   录</w:t>
      </w:r>
    </w:p>
    <w:p>
      <w:pPr>
        <w:pStyle w:val="15"/>
        <w:tabs>
          <w:tab w:val="right" w:leader="dot" w:pos="9402"/>
        </w:tabs>
        <w:rPr>
          <w:rFonts w:asciiTheme="minorHAnsi" w:hAnsiTheme="minorHAnsi" w:eastAsiaTheme="minorEastAsia" w:cstheme="minorBidi"/>
          <w:sz w:val="21"/>
          <w:szCs w:val="22"/>
        </w:rPr>
      </w:pPr>
      <w:bookmarkStart w:id="3" w:name="_Toc11641050"/>
      <w:bookmarkStart w:id="4" w:name="_Toc12789052"/>
      <w:r>
        <w:rPr>
          <w:rFonts w:hint="eastAsia" w:ascii="仿宋" w:hAnsi="仿宋" w:eastAsia="仿宋" w:cs="仿宋"/>
        </w:rPr>
        <w:fldChar w:fldCharType="begin"/>
      </w:r>
      <w:r>
        <w:rPr>
          <w:rFonts w:hint="eastAsia" w:ascii="仿宋" w:hAnsi="仿宋" w:eastAsia="仿宋" w:cs="仿宋"/>
        </w:rPr>
        <w:instrText xml:space="preserve">TOC \o "1-3" \h \u </w:instrText>
      </w:r>
      <w:r>
        <w:rPr>
          <w:rFonts w:hint="eastAsia" w:ascii="仿宋" w:hAnsi="仿宋" w:eastAsia="仿宋" w:cs="仿宋"/>
        </w:rPr>
        <w:fldChar w:fldCharType="separate"/>
      </w:r>
      <w:r>
        <w:fldChar w:fldCharType="begin"/>
      </w:r>
      <w:r>
        <w:instrText xml:space="preserve"> HYPERLINK \l "_Toc88838423" </w:instrText>
      </w:r>
      <w:r>
        <w:fldChar w:fldCharType="separate"/>
      </w:r>
      <w:r>
        <w:rPr>
          <w:rStyle w:val="21"/>
          <w:rFonts w:ascii="仿宋" w:hAnsi="仿宋" w:eastAsia="仿宋" w:cs="仿宋"/>
          <w:b/>
          <w:bCs/>
        </w:rPr>
        <w:t>第一篇  竞争性邀请书</w:t>
      </w:r>
      <w:r>
        <w:tab/>
      </w:r>
      <w:r>
        <w:fldChar w:fldCharType="begin"/>
      </w:r>
      <w:r>
        <w:instrText xml:space="preserve"> PAGEREF _Toc88838423 \h </w:instrText>
      </w:r>
      <w:r>
        <w:fldChar w:fldCharType="separate"/>
      </w:r>
      <w:r>
        <w:t>- 3 -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"_Toc88838424" </w:instrText>
      </w:r>
      <w:r>
        <w:fldChar w:fldCharType="separate"/>
      </w:r>
      <w:r>
        <w:rPr>
          <w:rStyle w:val="21"/>
          <w:rFonts w:ascii="仿宋" w:hAnsi="仿宋" w:eastAsia="仿宋" w:cs="仿宋"/>
          <w:b/>
          <w:bCs/>
        </w:rPr>
        <w:t>一、竞争性磋商内容</w:t>
      </w:r>
      <w:r>
        <w:tab/>
      </w:r>
      <w:r>
        <w:fldChar w:fldCharType="begin"/>
      </w:r>
      <w:r>
        <w:instrText xml:space="preserve"> PAGEREF _Toc88838424 \h </w:instrText>
      </w:r>
      <w:r>
        <w:fldChar w:fldCharType="separate"/>
      </w:r>
      <w:r>
        <w:t>- 3 -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"_Toc88838425" </w:instrText>
      </w:r>
      <w:r>
        <w:fldChar w:fldCharType="separate"/>
      </w:r>
      <w:r>
        <w:rPr>
          <w:rStyle w:val="21"/>
          <w:rFonts w:ascii="仿宋" w:hAnsi="仿宋" w:eastAsia="仿宋" w:cs="仿宋"/>
          <w:b/>
          <w:bCs/>
        </w:rPr>
        <w:t>二、资金来源</w:t>
      </w:r>
      <w:r>
        <w:tab/>
      </w:r>
      <w:r>
        <w:fldChar w:fldCharType="begin"/>
      </w:r>
      <w:r>
        <w:instrText xml:space="preserve"> PAGEREF _Toc88838425 \h </w:instrText>
      </w:r>
      <w:r>
        <w:fldChar w:fldCharType="separate"/>
      </w:r>
      <w:r>
        <w:t>- 3 -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"_Toc88838426" </w:instrText>
      </w:r>
      <w:r>
        <w:fldChar w:fldCharType="separate"/>
      </w:r>
      <w:r>
        <w:rPr>
          <w:rStyle w:val="21"/>
          <w:rFonts w:ascii="仿宋" w:hAnsi="仿宋" w:eastAsia="仿宋" w:cs="仿宋"/>
          <w:b/>
          <w:bCs/>
        </w:rPr>
        <w:t>三、供应商资格条件</w:t>
      </w:r>
      <w:r>
        <w:tab/>
      </w:r>
      <w:r>
        <w:fldChar w:fldCharType="begin"/>
      </w:r>
      <w:r>
        <w:instrText xml:space="preserve"> PAGEREF _Toc88838426 \h </w:instrText>
      </w:r>
      <w:r>
        <w:fldChar w:fldCharType="separate"/>
      </w:r>
      <w:r>
        <w:t>- 3 -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"_Toc88838427" </w:instrText>
      </w:r>
      <w:r>
        <w:fldChar w:fldCharType="separate"/>
      </w:r>
      <w:r>
        <w:rPr>
          <w:rStyle w:val="21"/>
          <w:rFonts w:ascii="仿宋" w:hAnsi="仿宋" w:eastAsia="仿宋" w:cs="仿宋"/>
          <w:b/>
          <w:bCs/>
        </w:rPr>
        <w:t>四、磋商有关说明</w:t>
      </w:r>
      <w:r>
        <w:tab/>
      </w:r>
      <w:r>
        <w:fldChar w:fldCharType="begin"/>
      </w:r>
      <w:r>
        <w:instrText xml:space="preserve"> PAGEREF _Toc88838427 \h </w:instrText>
      </w:r>
      <w:r>
        <w:fldChar w:fldCharType="separate"/>
      </w:r>
      <w:r>
        <w:t>- 3 -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"_Toc88838428" </w:instrText>
      </w:r>
      <w:r>
        <w:fldChar w:fldCharType="separate"/>
      </w:r>
      <w:r>
        <w:rPr>
          <w:rStyle w:val="21"/>
          <w:rFonts w:ascii="仿宋" w:hAnsi="仿宋" w:eastAsia="仿宋" w:cs="宋体"/>
          <w:b/>
        </w:rPr>
        <w:t>五、保证金、标书费缴纳与退还</w:t>
      </w:r>
      <w:r>
        <w:tab/>
      </w:r>
      <w:r>
        <w:fldChar w:fldCharType="begin"/>
      </w:r>
      <w:r>
        <w:instrText xml:space="preserve"> PAGEREF _Toc88838428 \h </w:instrText>
      </w:r>
      <w:r>
        <w:fldChar w:fldCharType="separate"/>
      </w:r>
      <w:r>
        <w:t>- 4 -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"_Toc88838429" </w:instrText>
      </w:r>
      <w:r>
        <w:fldChar w:fldCharType="separate"/>
      </w:r>
      <w:r>
        <w:rPr>
          <w:rStyle w:val="21"/>
          <w:rFonts w:ascii="仿宋" w:hAnsi="仿宋" w:eastAsia="仿宋" w:cs="宋体"/>
          <w:b/>
          <w:bCs/>
        </w:rPr>
        <w:t>六、采购项目需落实的政府采购政策</w:t>
      </w:r>
      <w:r>
        <w:tab/>
      </w:r>
      <w:r>
        <w:fldChar w:fldCharType="begin"/>
      </w:r>
      <w:r>
        <w:instrText xml:space="preserve"> PAGEREF _Toc88838429 \h </w:instrText>
      </w:r>
      <w:r>
        <w:fldChar w:fldCharType="separate"/>
      </w:r>
      <w:r>
        <w:t>- 4 -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"_Toc88838430" </w:instrText>
      </w:r>
      <w:r>
        <w:fldChar w:fldCharType="separate"/>
      </w:r>
      <w:r>
        <w:rPr>
          <w:rStyle w:val="21"/>
          <w:rFonts w:ascii="仿宋" w:hAnsi="仿宋" w:eastAsia="仿宋" w:cs="宋体"/>
          <w:b/>
          <w:bCs/>
        </w:rPr>
        <w:t>七、其它有关规定</w:t>
      </w:r>
      <w:r>
        <w:tab/>
      </w:r>
      <w:r>
        <w:fldChar w:fldCharType="begin"/>
      </w:r>
      <w:r>
        <w:instrText xml:space="preserve"> PAGEREF _Toc88838430 \h </w:instrText>
      </w:r>
      <w:r>
        <w:fldChar w:fldCharType="separate"/>
      </w:r>
      <w:r>
        <w:t>- 5 -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"_Toc88838431" </w:instrText>
      </w:r>
      <w:r>
        <w:fldChar w:fldCharType="separate"/>
      </w:r>
      <w:r>
        <w:rPr>
          <w:rStyle w:val="21"/>
          <w:rFonts w:ascii="仿宋" w:hAnsi="仿宋" w:eastAsia="仿宋" w:cs="仿宋"/>
          <w:b/>
          <w:bCs/>
        </w:rPr>
        <w:t>八、联系方式</w:t>
      </w:r>
      <w:r>
        <w:tab/>
      </w:r>
      <w:r>
        <w:fldChar w:fldCharType="begin"/>
      </w:r>
      <w:r>
        <w:instrText xml:space="preserve"> PAGEREF _Toc88838431 \h </w:instrText>
      </w:r>
      <w:r>
        <w:fldChar w:fldCharType="separate"/>
      </w:r>
      <w:r>
        <w:t>- 5 -</w:t>
      </w:r>
      <w:r>
        <w:fldChar w:fldCharType="end"/>
      </w:r>
      <w:r>
        <w:fldChar w:fldCharType="end"/>
      </w:r>
    </w:p>
    <w:p>
      <w:pPr>
        <w:pStyle w:val="15"/>
        <w:tabs>
          <w:tab w:val="right" w:leader="dot" w:pos="9402"/>
        </w:tabs>
        <w:rPr>
          <w:rFonts w:asciiTheme="minorHAnsi" w:hAnsiTheme="minorHAnsi" w:eastAsiaTheme="minorEastAsia" w:cstheme="minorBidi"/>
          <w:sz w:val="21"/>
          <w:szCs w:val="22"/>
        </w:rPr>
      </w:pPr>
      <w:r>
        <w:fldChar w:fldCharType="begin"/>
      </w:r>
      <w:r>
        <w:instrText xml:space="preserve"> HYPERLINK \l "_Toc88838432" </w:instrText>
      </w:r>
      <w:r>
        <w:fldChar w:fldCharType="separate"/>
      </w:r>
      <w:r>
        <w:rPr>
          <w:rStyle w:val="21"/>
          <w:rFonts w:ascii="仿宋" w:hAnsi="仿宋" w:eastAsia="仿宋" w:cs="仿宋"/>
          <w:b/>
          <w:bCs/>
        </w:rPr>
        <w:t>第二篇  供应商须知</w:t>
      </w:r>
      <w:r>
        <w:tab/>
      </w:r>
      <w:r>
        <w:fldChar w:fldCharType="begin"/>
      </w:r>
      <w:r>
        <w:instrText xml:space="preserve"> PAGEREF _Toc88838432 \h </w:instrText>
      </w:r>
      <w:r>
        <w:fldChar w:fldCharType="separate"/>
      </w:r>
      <w:r>
        <w:t>- 6 -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"_Toc88838433" </w:instrText>
      </w:r>
      <w:r>
        <w:fldChar w:fldCharType="separate"/>
      </w:r>
      <w:r>
        <w:rPr>
          <w:rStyle w:val="21"/>
          <w:rFonts w:ascii="仿宋" w:hAnsi="仿宋" w:eastAsia="仿宋" w:cs="仿宋"/>
          <w:b/>
          <w:bCs/>
        </w:rPr>
        <w:t>一、磋商费用</w:t>
      </w:r>
      <w:r>
        <w:tab/>
      </w:r>
      <w:r>
        <w:fldChar w:fldCharType="begin"/>
      </w:r>
      <w:r>
        <w:instrText xml:space="preserve"> PAGEREF _Toc88838433 \h </w:instrText>
      </w:r>
      <w:r>
        <w:fldChar w:fldCharType="separate"/>
      </w:r>
      <w:r>
        <w:t>- 6 -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"_Toc88838434" </w:instrText>
      </w:r>
      <w:r>
        <w:fldChar w:fldCharType="separate"/>
      </w:r>
      <w:r>
        <w:rPr>
          <w:rStyle w:val="21"/>
          <w:rFonts w:ascii="仿宋" w:hAnsi="仿宋" w:eastAsia="仿宋" w:cs="仿宋"/>
          <w:b/>
          <w:bCs/>
        </w:rPr>
        <w:t>二、竞争性磋商文件</w:t>
      </w:r>
      <w:r>
        <w:tab/>
      </w:r>
      <w:r>
        <w:fldChar w:fldCharType="begin"/>
      </w:r>
      <w:r>
        <w:instrText xml:space="preserve"> PAGEREF _Toc88838434 \h </w:instrText>
      </w:r>
      <w:r>
        <w:fldChar w:fldCharType="separate"/>
      </w:r>
      <w:r>
        <w:t>- 6 -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"_Toc88838435" </w:instrText>
      </w:r>
      <w:r>
        <w:fldChar w:fldCharType="separate"/>
      </w:r>
      <w:r>
        <w:rPr>
          <w:rStyle w:val="21"/>
          <w:rFonts w:ascii="仿宋" w:hAnsi="仿宋" w:eastAsia="仿宋" w:cs="仿宋"/>
          <w:b/>
          <w:bCs/>
        </w:rPr>
        <w:t>三、磋商要求</w:t>
      </w:r>
      <w:r>
        <w:tab/>
      </w:r>
      <w:r>
        <w:fldChar w:fldCharType="begin"/>
      </w:r>
      <w:r>
        <w:instrText xml:space="preserve"> PAGEREF _Toc88838435 \h </w:instrText>
      </w:r>
      <w:r>
        <w:fldChar w:fldCharType="separate"/>
      </w:r>
      <w:r>
        <w:t>- 6 -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"_Toc88838436" </w:instrText>
      </w:r>
      <w:r>
        <w:fldChar w:fldCharType="separate"/>
      </w:r>
      <w:r>
        <w:rPr>
          <w:rStyle w:val="21"/>
          <w:rFonts w:ascii="仿宋" w:hAnsi="仿宋" w:eastAsia="仿宋" w:cs="仿宋"/>
          <w:b/>
        </w:rPr>
        <w:t>四、响应文件编制要求</w:t>
      </w:r>
      <w:r>
        <w:tab/>
      </w:r>
      <w:r>
        <w:fldChar w:fldCharType="begin"/>
      </w:r>
      <w:r>
        <w:instrText xml:space="preserve"> PAGEREF _Toc88838436 \h </w:instrText>
      </w:r>
      <w:r>
        <w:fldChar w:fldCharType="separate"/>
      </w:r>
      <w:r>
        <w:t>- 6 -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"_Toc88838437" </w:instrText>
      </w:r>
      <w:r>
        <w:fldChar w:fldCharType="separate"/>
      </w:r>
      <w:r>
        <w:rPr>
          <w:rStyle w:val="21"/>
          <w:rFonts w:ascii="仿宋" w:hAnsi="仿宋" w:eastAsia="仿宋" w:cs="仿宋"/>
          <w:b/>
        </w:rPr>
        <w:t>五、竞争性磋商评审活动程序</w:t>
      </w:r>
      <w:r>
        <w:tab/>
      </w:r>
      <w:r>
        <w:fldChar w:fldCharType="begin"/>
      </w:r>
      <w:r>
        <w:instrText xml:space="preserve"> PAGEREF _Toc88838437 \h </w:instrText>
      </w:r>
      <w:r>
        <w:fldChar w:fldCharType="separate"/>
      </w:r>
      <w:r>
        <w:t>- 8 -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"_Toc88838438" </w:instrText>
      </w:r>
      <w:r>
        <w:fldChar w:fldCharType="separate"/>
      </w:r>
      <w:r>
        <w:rPr>
          <w:rStyle w:val="21"/>
          <w:rFonts w:ascii="仿宋" w:hAnsi="仿宋" w:eastAsia="仿宋" w:cs="仿宋"/>
          <w:b/>
        </w:rPr>
        <w:t>六、评审</w:t>
      </w:r>
      <w:r>
        <w:tab/>
      </w:r>
      <w:r>
        <w:fldChar w:fldCharType="begin"/>
      </w:r>
      <w:r>
        <w:instrText xml:space="preserve"> PAGEREF _Toc88838438 \h </w:instrText>
      </w:r>
      <w:r>
        <w:fldChar w:fldCharType="separate"/>
      </w:r>
      <w:r>
        <w:t>- 8 -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"_Toc88838439" </w:instrText>
      </w:r>
      <w:r>
        <w:fldChar w:fldCharType="separate"/>
      </w:r>
      <w:r>
        <w:rPr>
          <w:rStyle w:val="21"/>
          <w:rFonts w:ascii="仿宋" w:hAnsi="仿宋" w:eastAsia="仿宋" w:cs="仿宋"/>
          <w:b/>
        </w:rPr>
        <w:t>七、确定成交供应商</w:t>
      </w:r>
      <w:r>
        <w:tab/>
      </w:r>
      <w:r>
        <w:fldChar w:fldCharType="begin"/>
      </w:r>
      <w:r>
        <w:instrText xml:space="preserve"> PAGEREF _Toc88838439 \h </w:instrText>
      </w:r>
      <w:r>
        <w:fldChar w:fldCharType="separate"/>
      </w:r>
      <w:r>
        <w:t>- 8 -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"_Toc88838440" </w:instrText>
      </w:r>
      <w:r>
        <w:fldChar w:fldCharType="separate"/>
      </w:r>
      <w:r>
        <w:rPr>
          <w:rStyle w:val="21"/>
          <w:rFonts w:ascii="仿宋" w:hAnsi="仿宋" w:eastAsia="仿宋" w:cs="仿宋"/>
          <w:b/>
        </w:rPr>
        <w:t>八、成交通知书</w:t>
      </w:r>
      <w:r>
        <w:tab/>
      </w:r>
      <w:r>
        <w:fldChar w:fldCharType="begin"/>
      </w:r>
      <w:r>
        <w:instrText xml:space="preserve"> PAGEREF _Toc88838440 \h </w:instrText>
      </w:r>
      <w:r>
        <w:fldChar w:fldCharType="separate"/>
      </w:r>
      <w:r>
        <w:t>- 9 -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"_Toc88838441" </w:instrText>
      </w:r>
      <w:r>
        <w:fldChar w:fldCharType="separate"/>
      </w:r>
      <w:r>
        <w:rPr>
          <w:rStyle w:val="21"/>
          <w:rFonts w:ascii="仿宋" w:hAnsi="仿宋" w:eastAsia="仿宋" w:cs="仿宋"/>
          <w:b/>
        </w:rPr>
        <w:t>九、供应商对评审结果的质疑、投诉</w:t>
      </w:r>
      <w:r>
        <w:tab/>
      </w:r>
      <w:r>
        <w:fldChar w:fldCharType="begin"/>
      </w:r>
      <w:r>
        <w:instrText xml:space="preserve"> PAGEREF _Toc88838441 \h </w:instrText>
      </w:r>
      <w:r>
        <w:fldChar w:fldCharType="separate"/>
      </w:r>
      <w:r>
        <w:t>- 9 -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"_Toc88838442" </w:instrText>
      </w:r>
      <w:r>
        <w:fldChar w:fldCharType="separate"/>
      </w:r>
      <w:r>
        <w:rPr>
          <w:rStyle w:val="21"/>
          <w:rFonts w:ascii="仿宋" w:hAnsi="仿宋" w:eastAsia="仿宋" w:cs="仿宋"/>
          <w:b/>
        </w:rPr>
        <w:t>十、签订合同</w:t>
      </w:r>
      <w:r>
        <w:tab/>
      </w:r>
      <w:r>
        <w:fldChar w:fldCharType="begin"/>
      </w:r>
      <w:r>
        <w:instrText xml:space="preserve"> PAGEREF _Toc88838442 \h </w:instrText>
      </w:r>
      <w:r>
        <w:fldChar w:fldCharType="separate"/>
      </w:r>
      <w:r>
        <w:t>- 10 -</w:t>
      </w:r>
      <w:r>
        <w:fldChar w:fldCharType="end"/>
      </w:r>
      <w:r>
        <w:fldChar w:fldCharType="end"/>
      </w:r>
    </w:p>
    <w:p>
      <w:pPr>
        <w:pStyle w:val="15"/>
        <w:tabs>
          <w:tab w:val="right" w:leader="dot" w:pos="9402"/>
        </w:tabs>
        <w:rPr>
          <w:rFonts w:asciiTheme="minorHAnsi" w:hAnsiTheme="minorHAnsi" w:eastAsiaTheme="minorEastAsia" w:cstheme="minorBidi"/>
          <w:sz w:val="21"/>
          <w:szCs w:val="22"/>
        </w:rPr>
      </w:pPr>
      <w:r>
        <w:fldChar w:fldCharType="begin"/>
      </w:r>
      <w:r>
        <w:instrText xml:space="preserve"> HYPERLINK \l "_Toc88838443" </w:instrText>
      </w:r>
      <w:r>
        <w:fldChar w:fldCharType="separate"/>
      </w:r>
      <w:r>
        <w:rPr>
          <w:rStyle w:val="21"/>
          <w:rFonts w:ascii="仿宋" w:hAnsi="仿宋" w:eastAsia="仿宋" w:cs="仿宋"/>
          <w:b/>
          <w:bCs/>
        </w:rPr>
        <w:t>第三篇 采购服务需求</w:t>
      </w:r>
      <w:r>
        <w:tab/>
      </w:r>
      <w:r>
        <w:fldChar w:fldCharType="begin"/>
      </w:r>
      <w:r>
        <w:instrText xml:space="preserve"> PAGEREF _Toc88838443 \h </w:instrText>
      </w:r>
      <w:r>
        <w:fldChar w:fldCharType="separate"/>
      </w:r>
      <w:r>
        <w:t>- 11 -</w:t>
      </w:r>
      <w:r>
        <w:fldChar w:fldCharType="end"/>
      </w:r>
      <w:r>
        <w:fldChar w:fldCharType="end"/>
      </w:r>
    </w:p>
    <w:p>
      <w:pPr>
        <w:pStyle w:val="15"/>
        <w:tabs>
          <w:tab w:val="right" w:leader="dot" w:pos="9402"/>
        </w:tabs>
        <w:rPr>
          <w:rFonts w:asciiTheme="minorHAnsi" w:hAnsiTheme="minorHAnsi" w:eastAsiaTheme="minorEastAsia" w:cstheme="minorBidi"/>
          <w:sz w:val="21"/>
          <w:szCs w:val="22"/>
        </w:rPr>
      </w:pPr>
      <w:r>
        <w:fldChar w:fldCharType="begin"/>
      </w:r>
      <w:r>
        <w:instrText xml:space="preserve"> HYPERLINK \l "_Toc88838444" </w:instrText>
      </w:r>
      <w:r>
        <w:fldChar w:fldCharType="separate"/>
      </w:r>
      <w:r>
        <w:rPr>
          <w:rStyle w:val="21"/>
          <w:rFonts w:ascii="仿宋" w:hAnsi="仿宋" w:eastAsia="仿宋" w:cs="仿宋"/>
          <w:b/>
          <w:bCs/>
        </w:rPr>
        <w:t>第四篇  采购商务需求</w:t>
      </w:r>
      <w:r>
        <w:tab/>
      </w:r>
      <w:r>
        <w:fldChar w:fldCharType="begin"/>
      </w:r>
      <w:r>
        <w:instrText xml:space="preserve"> PAGEREF _Toc88838444 \h </w:instrText>
      </w:r>
      <w:r>
        <w:fldChar w:fldCharType="separate"/>
      </w:r>
      <w:r>
        <w:t>- 12 -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"_Toc88838445" </w:instrText>
      </w:r>
      <w:r>
        <w:fldChar w:fldCharType="separate"/>
      </w:r>
      <w:r>
        <w:rPr>
          <w:rStyle w:val="21"/>
          <w:rFonts w:ascii="仿宋" w:hAnsi="仿宋" w:eastAsia="仿宋" w:cs="宋体"/>
        </w:rPr>
        <w:t>一、完成时间及验收方式</w:t>
      </w:r>
      <w:r>
        <w:tab/>
      </w:r>
      <w:r>
        <w:fldChar w:fldCharType="begin"/>
      </w:r>
      <w:r>
        <w:instrText xml:space="preserve"> PAGEREF _Toc88838445 \h </w:instrText>
      </w:r>
      <w:r>
        <w:fldChar w:fldCharType="separate"/>
      </w:r>
      <w:r>
        <w:t>- 12 -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"_Toc88838446" </w:instrText>
      </w:r>
      <w:r>
        <w:fldChar w:fldCharType="separate"/>
      </w:r>
      <w:r>
        <w:rPr>
          <w:rStyle w:val="21"/>
          <w:rFonts w:ascii="仿宋" w:hAnsi="仿宋" w:eastAsia="仿宋" w:cs="宋体"/>
          <w:bCs/>
        </w:rPr>
        <w:t>二、质量保证及售后服务</w:t>
      </w:r>
      <w:r>
        <w:tab/>
      </w:r>
      <w:r>
        <w:fldChar w:fldCharType="begin"/>
      </w:r>
      <w:r>
        <w:instrText xml:space="preserve"> PAGEREF _Toc88838446 \h </w:instrText>
      </w:r>
      <w:r>
        <w:fldChar w:fldCharType="separate"/>
      </w:r>
      <w:r>
        <w:t>- 12 -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"_Toc88838447" </w:instrText>
      </w:r>
      <w:r>
        <w:fldChar w:fldCharType="separate"/>
      </w:r>
      <w:r>
        <w:rPr>
          <w:rStyle w:val="21"/>
          <w:rFonts w:ascii="仿宋" w:hAnsi="仿宋" w:eastAsia="仿宋" w:cs="宋体"/>
        </w:rPr>
        <w:t>三、付款方式</w:t>
      </w:r>
      <w:r>
        <w:tab/>
      </w:r>
      <w:r>
        <w:fldChar w:fldCharType="begin"/>
      </w:r>
      <w:r>
        <w:instrText xml:space="preserve"> PAGEREF _Toc88838447 \h </w:instrText>
      </w:r>
      <w:r>
        <w:fldChar w:fldCharType="separate"/>
      </w:r>
      <w:r>
        <w:t>- 12 -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"_Toc88838448" </w:instrText>
      </w:r>
      <w:r>
        <w:fldChar w:fldCharType="separate"/>
      </w:r>
      <w:r>
        <w:rPr>
          <w:rStyle w:val="21"/>
          <w:rFonts w:ascii="仿宋" w:hAnsi="仿宋" w:eastAsia="仿宋" w:cs="宋体"/>
        </w:rPr>
        <w:t>四、其他</w:t>
      </w:r>
      <w:r>
        <w:tab/>
      </w:r>
      <w:r>
        <w:fldChar w:fldCharType="begin"/>
      </w:r>
      <w:r>
        <w:instrText xml:space="preserve"> PAGEREF _Toc88838448 \h </w:instrText>
      </w:r>
      <w:r>
        <w:fldChar w:fldCharType="separate"/>
      </w:r>
      <w:r>
        <w:t>- 12 -</w:t>
      </w:r>
      <w:r>
        <w:fldChar w:fldCharType="end"/>
      </w:r>
      <w:r>
        <w:fldChar w:fldCharType="end"/>
      </w:r>
    </w:p>
    <w:p>
      <w:pPr>
        <w:pStyle w:val="15"/>
        <w:tabs>
          <w:tab w:val="right" w:leader="dot" w:pos="9402"/>
        </w:tabs>
        <w:rPr>
          <w:rFonts w:asciiTheme="minorHAnsi" w:hAnsiTheme="minorHAnsi" w:eastAsiaTheme="minorEastAsia" w:cstheme="minorBidi"/>
          <w:sz w:val="21"/>
          <w:szCs w:val="22"/>
        </w:rPr>
      </w:pPr>
      <w:r>
        <w:fldChar w:fldCharType="begin"/>
      </w:r>
      <w:r>
        <w:instrText xml:space="preserve"> HYPERLINK \l "_Toc88838449" </w:instrText>
      </w:r>
      <w:r>
        <w:fldChar w:fldCharType="separate"/>
      </w:r>
      <w:r>
        <w:rPr>
          <w:rStyle w:val="21"/>
          <w:rFonts w:ascii="仿宋" w:hAnsi="仿宋" w:eastAsia="仿宋" w:cs="仿宋"/>
          <w:b/>
          <w:bCs/>
        </w:rPr>
        <w:t>第五篇  磋商程序及方法、评审标准、无效响应和采购终止</w:t>
      </w:r>
      <w:r>
        <w:tab/>
      </w:r>
      <w:r>
        <w:fldChar w:fldCharType="begin"/>
      </w:r>
      <w:r>
        <w:instrText xml:space="preserve"> PAGEREF _Toc88838449 \h </w:instrText>
      </w:r>
      <w:r>
        <w:fldChar w:fldCharType="separate"/>
      </w:r>
      <w:r>
        <w:t>- 13 -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"_Toc88838450" </w:instrText>
      </w:r>
      <w:r>
        <w:fldChar w:fldCharType="separate"/>
      </w:r>
      <w:r>
        <w:rPr>
          <w:rStyle w:val="21"/>
          <w:rFonts w:ascii="仿宋" w:hAnsi="仿宋" w:eastAsia="仿宋" w:cs="仿宋"/>
          <w:b/>
          <w:bCs/>
        </w:rPr>
        <w:t>一、磋商程序及方法</w:t>
      </w:r>
      <w:r>
        <w:tab/>
      </w:r>
      <w:r>
        <w:fldChar w:fldCharType="begin"/>
      </w:r>
      <w:r>
        <w:instrText xml:space="preserve"> PAGEREF _Toc88838450 \h </w:instrText>
      </w:r>
      <w:r>
        <w:fldChar w:fldCharType="separate"/>
      </w:r>
      <w:r>
        <w:t>- 13 -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"_Toc88838451" </w:instrText>
      </w:r>
      <w:r>
        <w:fldChar w:fldCharType="separate"/>
      </w:r>
      <w:r>
        <w:rPr>
          <w:rStyle w:val="21"/>
          <w:rFonts w:ascii="仿宋" w:hAnsi="仿宋" w:eastAsia="仿宋" w:cs="仿宋"/>
          <w:b/>
          <w:bCs/>
        </w:rPr>
        <w:t>二、评审标准</w:t>
      </w:r>
      <w:r>
        <w:tab/>
      </w:r>
      <w:r>
        <w:fldChar w:fldCharType="begin"/>
      </w:r>
      <w:r>
        <w:instrText xml:space="preserve"> PAGEREF _Toc88838451 \h </w:instrText>
      </w:r>
      <w:r>
        <w:fldChar w:fldCharType="separate"/>
      </w:r>
      <w:r>
        <w:t>- 16 -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"_Toc88838452" </w:instrText>
      </w:r>
      <w:r>
        <w:fldChar w:fldCharType="separate"/>
      </w:r>
      <w:r>
        <w:rPr>
          <w:rStyle w:val="21"/>
          <w:rFonts w:ascii="仿宋" w:hAnsi="仿宋" w:eastAsia="仿宋" w:cs="仿宋"/>
          <w:b/>
          <w:bCs/>
        </w:rPr>
        <w:t>三、无效响应</w:t>
      </w:r>
      <w:r>
        <w:tab/>
      </w:r>
      <w:r>
        <w:fldChar w:fldCharType="begin"/>
      </w:r>
      <w:r>
        <w:instrText xml:space="preserve"> PAGEREF _Toc88838452 \h </w:instrText>
      </w:r>
      <w:r>
        <w:fldChar w:fldCharType="separate"/>
      </w:r>
      <w:r>
        <w:t>- 17 -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"_Toc88838453" </w:instrText>
      </w:r>
      <w:r>
        <w:fldChar w:fldCharType="separate"/>
      </w:r>
      <w:r>
        <w:rPr>
          <w:rStyle w:val="21"/>
          <w:rFonts w:ascii="仿宋" w:hAnsi="仿宋" w:eastAsia="仿宋" w:cs="仿宋"/>
          <w:b/>
          <w:bCs/>
        </w:rPr>
        <w:t>四、采购终止</w:t>
      </w:r>
      <w:r>
        <w:tab/>
      </w:r>
      <w:r>
        <w:fldChar w:fldCharType="begin"/>
      </w:r>
      <w:r>
        <w:instrText xml:space="preserve"> PAGEREF _Toc88838453 \h </w:instrText>
      </w:r>
      <w:r>
        <w:fldChar w:fldCharType="separate"/>
      </w:r>
      <w:r>
        <w:t>- 17 -</w:t>
      </w:r>
      <w:r>
        <w:fldChar w:fldCharType="end"/>
      </w:r>
      <w:r>
        <w:fldChar w:fldCharType="end"/>
      </w:r>
    </w:p>
    <w:p>
      <w:pPr>
        <w:pStyle w:val="15"/>
        <w:tabs>
          <w:tab w:val="right" w:leader="dot" w:pos="9402"/>
        </w:tabs>
        <w:rPr>
          <w:rFonts w:asciiTheme="minorHAnsi" w:hAnsiTheme="minorHAnsi" w:eastAsiaTheme="minorEastAsia" w:cstheme="minorBidi"/>
          <w:sz w:val="21"/>
          <w:szCs w:val="22"/>
        </w:rPr>
      </w:pPr>
      <w:r>
        <w:fldChar w:fldCharType="begin"/>
      </w:r>
      <w:r>
        <w:instrText xml:space="preserve"> HYPERLINK \l "_Toc88838454" </w:instrText>
      </w:r>
      <w:r>
        <w:fldChar w:fldCharType="separate"/>
      </w:r>
      <w:r>
        <w:rPr>
          <w:rStyle w:val="21"/>
          <w:rFonts w:ascii="仿宋" w:hAnsi="仿宋" w:eastAsia="仿宋" w:cs="仿宋"/>
          <w:b/>
        </w:rPr>
        <w:t>第六篇  合同主要条款</w:t>
      </w:r>
      <w:r>
        <w:tab/>
      </w:r>
      <w:r>
        <w:fldChar w:fldCharType="begin"/>
      </w:r>
      <w:r>
        <w:instrText xml:space="preserve"> PAGEREF _Toc88838454 \h </w:instrText>
      </w:r>
      <w:r>
        <w:fldChar w:fldCharType="separate"/>
      </w:r>
      <w:r>
        <w:t>- 18 -</w:t>
      </w:r>
      <w:r>
        <w:fldChar w:fldCharType="end"/>
      </w:r>
      <w:r>
        <w:fldChar w:fldCharType="end"/>
      </w:r>
    </w:p>
    <w:p>
      <w:pPr>
        <w:pStyle w:val="15"/>
        <w:tabs>
          <w:tab w:val="right" w:leader="dot" w:pos="9402"/>
        </w:tabs>
        <w:rPr>
          <w:rFonts w:asciiTheme="minorHAnsi" w:hAnsiTheme="minorHAnsi" w:eastAsiaTheme="minorEastAsia" w:cstheme="minorBidi"/>
          <w:sz w:val="21"/>
          <w:szCs w:val="22"/>
        </w:rPr>
      </w:pPr>
      <w:r>
        <w:fldChar w:fldCharType="begin"/>
      </w:r>
      <w:r>
        <w:instrText xml:space="preserve"> HYPERLINK \l "_Toc88838455" </w:instrText>
      </w:r>
      <w:r>
        <w:fldChar w:fldCharType="separate"/>
      </w:r>
      <w:r>
        <w:rPr>
          <w:rStyle w:val="21"/>
          <w:rFonts w:ascii="仿宋" w:hAnsi="仿宋" w:eastAsia="仿宋" w:cs="仿宋"/>
          <w:b/>
          <w:bCs/>
        </w:rPr>
        <w:t>第七篇  响应文件编制要求</w:t>
      </w:r>
      <w:r>
        <w:tab/>
      </w:r>
      <w:r>
        <w:fldChar w:fldCharType="begin"/>
      </w:r>
      <w:r>
        <w:instrText xml:space="preserve"> PAGEREF _Toc88838455 \h </w:instrText>
      </w:r>
      <w:r>
        <w:fldChar w:fldCharType="separate"/>
      </w:r>
      <w:r>
        <w:t>- 20 -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"_Toc88838456" </w:instrText>
      </w:r>
      <w:r>
        <w:fldChar w:fldCharType="separate"/>
      </w:r>
      <w:r>
        <w:rPr>
          <w:rStyle w:val="21"/>
          <w:rFonts w:ascii="仿宋" w:hAnsi="仿宋" w:eastAsia="仿宋" w:cs="宋体"/>
          <w:b/>
        </w:rPr>
        <w:t>响应文件格式要求（本篇所有格式要求将逐一检查，如一项不符，投标文件将被拒绝）</w:t>
      </w:r>
      <w:r>
        <w:tab/>
      </w:r>
      <w:r>
        <w:fldChar w:fldCharType="begin"/>
      </w:r>
      <w:r>
        <w:instrText xml:space="preserve"> PAGEREF _Toc88838456 \h </w:instrText>
      </w:r>
      <w:r>
        <w:fldChar w:fldCharType="separate"/>
      </w:r>
      <w:r>
        <w:t>- 20 -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"_Toc88838457" </w:instrText>
      </w:r>
      <w:r>
        <w:fldChar w:fldCharType="separate"/>
      </w:r>
      <w:r>
        <w:rPr>
          <w:rStyle w:val="21"/>
          <w:rFonts w:ascii="仿宋" w:hAnsi="仿宋" w:eastAsia="仿宋" w:cs="宋体"/>
          <w:b/>
        </w:rPr>
        <w:t>响应文件规定格式部分</w:t>
      </w:r>
      <w:r>
        <w:tab/>
      </w:r>
      <w:r>
        <w:fldChar w:fldCharType="begin"/>
      </w:r>
      <w:r>
        <w:instrText xml:space="preserve"> PAGEREF _Toc88838457 \h </w:instrText>
      </w:r>
      <w:r>
        <w:fldChar w:fldCharType="separate"/>
      </w:r>
      <w:r>
        <w:t>- 20 -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"_Toc88838458" </w:instrText>
      </w:r>
      <w:r>
        <w:fldChar w:fldCharType="separate"/>
      </w:r>
      <w:r>
        <w:rPr>
          <w:rStyle w:val="21"/>
          <w:rFonts w:ascii="仿宋" w:hAnsi="仿宋" w:eastAsia="仿宋" w:cs="仿宋"/>
          <w:b/>
        </w:rPr>
        <w:t>一、经济部分</w:t>
      </w:r>
      <w:r>
        <w:tab/>
      </w:r>
      <w:r>
        <w:fldChar w:fldCharType="begin"/>
      </w:r>
      <w:r>
        <w:instrText xml:space="preserve"> PAGEREF _Toc88838458 \h </w:instrText>
      </w:r>
      <w:r>
        <w:fldChar w:fldCharType="separate"/>
      </w:r>
      <w:r>
        <w:t>- 22 -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"_Toc88838459" </w:instrText>
      </w:r>
      <w:r>
        <w:fldChar w:fldCharType="separate"/>
      </w:r>
      <w:r>
        <w:rPr>
          <w:rStyle w:val="21"/>
          <w:rFonts w:ascii="仿宋" w:hAnsi="仿宋" w:eastAsia="仿宋" w:cs="仿宋"/>
          <w:b/>
          <w:bCs/>
          <w:kern w:val="0"/>
        </w:rPr>
        <w:t>二、技术部分</w:t>
      </w:r>
      <w:r>
        <w:tab/>
      </w:r>
      <w:r>
        <w:fldChar w:fldCharType="begin"/>
      </w:r>
      <w:r>
        <w:instrText xml:space="preserve"> PAGEREF _Toc88838459 \h </w:instrText>
      </w:r>
      <w:r>
        <w:fldChar w:fldCharType="separate"/>
      </w:r>
      <w:r>
        <w:t>- 24 -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"_Toc88838460" </w:instrText>
      </w:r>
      <w:r>
        <w:fldChar w:fldCharType="separate"/>
      </w:r>
      <w:r>
        <w:rPr>
          <w:rStyle w:val="21"/>
          <w:rFonts w:ascii="仿宋" w:hAnsi="仿宋" w:eastAsia="仿宋" w:cs="仿宋"/>
          <w:b/>
        </w:rPr>
        <w:t>三、服务部分</w:t>
      </w:r>
      <w:r>
        <w:tab/>
      </w:r>
      <w:r>
        <w:fldChar w:fldCharType="begin"/>
      </w:r>
      <w:r>
        <w:instrText xml:space="preserve"> PAGEREF _Toc88838460 \h </w:instrText>
      </w:r>
      <w:r>
        <w:fldChar w:fldCharType="separate"/>
      </w:r>
      <w:r>
        <w:t>- 27 -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"_Toc88838461" </w:instrText>
      </w:r>
      <w:r>
        <w:fldChar w:fldCharType="separate"/>
      </w:r>
      <w:r>
        <w:rPr>
          <w:rStyle w:val="21"/>
          <w:rFonts w:ascii="仿宋" w:hAnsi="仿宋" w:eastAsia="仿宋" w:cs="仿宋"/>
          <w:b/>
        </w:rPr>
        <w:t>四、资格条件</w:t>
      </w:r>
      <w:r>
        <w:rPr>
          <w:rStyle w:val="21"/>
          <w:rFonts w:ascii="仿宋" w:hAnsi="仿宋" w:eastAsia="仿宋" w:cs="仿宋"/>
          <w:b/>
          <w:bCs/>
        </w:rPr>
        <w:t>(单独装订，一式三份)</w:t>
      </w:r>
      <w:r>
        <w:tab/>
      </w:r>
      <w:r>
        <w:fldChar w:fldCharType="begin"/>
      </w:r>
      <w:r>
        <w:instrText xml:space="preserve"> PAGEREF _Toc88838461 \h </w:instrText>
      </w:r>
      <w:r>
        <w:fldChar w:fldCharType="separate"/>
      </w:r>
      <w:r>
        <w:t>- 29 -</w:t>
      </w:r>
      <w:r>
        <w:fldChar w:fldCharType="end"/>
      </w:r>
      <w:r>
        <w:fldChar w:fldCharType="end"/>
      </w:r>
    </w:p>
    <w:p>
      <w:pPr>
        <w:pStyle w:val="16"/>
        <w:tabs>
          <w:tab w:val="right" w:leader="dot" w:pos="9402"/>
        </w:tabs>
        <w:ind w:left="560"/>
        <w:rPr>
          <w:rFonts w:asciiTheme="minorHAnsi" w:hAnsiTheme="minorHAnsi" w:eastAsiaTheme="minorEastAsia" w:cstheme="minorBidi"/>
          <w:sz w:val="21"/>
          <w:szCs w:val="22"/>
        </w:rPr>
      </w:pPr>
      <w:r>
        <w:fldChar w:fldCharType="begin"/>
      </w:r>
      <w:r>
        <w:instrText xml:space="preserve"> HYPERLINK \l "_Toc88838462" </w:instrText>
      </w:r>
      <w:r>
        <w:fldChar w:fldCharType="separate"/>
      </w:r>
      <w:r>
        <w:rPr>
          <w:rStyle w:val="21"/>
          <w:rFonts w:ascii="仿宋" w:hAnsi="仿宋" w:eastAsia="仿宋" w:cs="仿宋"/>
          <w:b/>
        </w:rPr>
        <w:t>五、其他应提供的资料</w:t>
      </w:r>
      <w:r>
        <w:tab/>
      </w:r>
      <w:r>
        <w:fldChar w:fldCharType="begin"/>
      </w:r>
      <w:r>
        <w:instrText xml:space="preserve"> PAGEREF _Toc88838462 \h </w:instrText>
      </w:r>
      <w:r>
        <w:fldChar w:fldCharType="separate"/>
      </w:r>
      <w:r>
        <w:t>- 37 -</w:t>
      </w:r>
      <w:r>
        <w:fldChar w:fldCharType="end"/>
      </w:r>
      <w:r>
        <w:fldChar w:fldCharType="end"/>
      </w:r>
    </w:p>
    <w:p>
      <w:pPr>
        <w:pStyle w:val="16"/>
        <w:tabs>
          <w:tab w:val="right" w:leader="dot" w:pos="9402"/>
        </w:tabs>
        <w:ind w:left="560"/>
        <w:rPr>
          <w:rFonts w:ascii="仿宋" w:hAnsi="仿宋" w:eastAsia="仿宋" w:cs="仿宋"/>
        </w:rPr>
        <w:sectPr>
          <w:footerReference r:id="rId3" w:type="default"/>
          <w:pgSz w:w="11907" w:h="16840"/>
          <w:pgMar w:top="1134" w:right="1191" w:bottom="1134" w:left="1304" w:header="964" w:footer="992" w:gutter="0"/>
          <w:pgNumType w:fmt="numberInDash" w:start="1"/>
          <w:cols w:space="720" w:num="1"/>
        </w:sectPr>
      </w:pPr>
      <w:r>
        <w:rPr>
          <w:rFonts w:hint="eastAsia" w:ascii="仿宋" w:hAnsi="仿宋" w:eastAsia="仿宋" w:cs="仿宋"/>
        </w:rPr>
        <w:fldChar w:fldCharType="end"/>
      </w:r>
    </w:p>
    <w:p/>
    <w:p>
      <w:pPr>
        <w:pStyle w:val="16"/>
        <w:tabs>
          <w:tab w:val="right" w:leader="dot" w:pos="9402"/>
        </w:tabs>
        <w:ind w:left="560"/>
        <w:jc w:val="center"/>
        <w:outlineLvl w:val="0"/>
        <w:rPr>
          <w:rFonts w:ascii="仿宋" w:hAnsi="仿宋" w:eastAsia="仿宋" w:cs="仿宋"/>
          <w:b/>
          <w:bCs/>
          <w:sz w:val="36"/>
          <w:szCs w:val="30"/>
        </w:rPr>
      </w:pPr>
      <w:bookmarkStart w:id="5" w:name="_Toc88838423"/>
      <w:r>
        <w:rPr>
          <w:rFonts w:hint="eastAsia" w:ascii="仿宋" w:hAnsi="仿宋" w:eastAsia="仿宋" w:cs="仿宋"/>
          <w:b/>
          <w:bCs/>
          <w:sz w:val="36"/>
          <w:szCs w:val="30"/>
        </w:rPr>
        <w:t>第一篇  竞争性邀请书</w:t>
      </w:r>
      <w:bookmarkEnd w:id="3"/>
      <w:bookmarkEnd w:id="4"/>
      <w:bookmarkEnd w:id="5"/>
    </w:p>
    <w:p>
      <w:pPr>
        <w:snapToGrid w:val="0"/>
        <w:spacing w:line="400" w:lineRule="exact"/>
        <w:ind w:firstLine="480" w:firstLineChars="200"/>
        <w:rPr>
          <w:rFonts w:ascii="仿宋" w:hAnsi="仿宋" w:eastAsia="仿宋"/>
          <w:sz w:val="24"/>
          <w:szCs w:val="24"/>
          <w:u w:val="single"/>
        </w:rPr>
      </w:pPr>
      <w:r>
        <w:rPr>
          <w:rFonts w:hint="eastAsia" w:ascii="仿宋" w:hAnsi="仿宋" w:eastAsia="仿宋"/>
          <w:sz w:val="24"/>
          <w:szCs w:val="24"/>
        </w:rPr>
        <w:t>本招标项目为</w:t>
      </w:r>
      <w:r>
        <w:rPr>
          <w:rFonts w:hint="eastAsia" w:ascii="仿宋" w:hAnsi="仿宋" w:eastAsia="仿宋"/>
          <w:sz w:val="24"/>
          <w:szCs w:val="24"/>
          <w:u w:val="single"/>
        </w:rPr>
        <w:t>重庆化工职业学院2021年校方责任险购买，</w:t>
      </w:r>
      <w:r>
        <w:rPr>
          <w:rFonts w:hint="eastAsia" w:ascii="仿宋" w:hAnsi="仿宋" w:eastAsia="仿宋"/>
          <w:sz w:val="24"/>
          <w:szCs w:val="24"/>
        </w:rPr>
        <w:t>现对该项目进行竞争性磋商采购，采购编号：</w:t>
      </w:r>
      <w:r>
        <w:rPr>
          <w:rFonts w:ascii="仿宋" w:hAnsi="仿宋" w:eastAsia="仿宋"/>
          <w:sz w:val="24"/>
          <w:szCs w:val="24"/>
        </w:rPr>
        <w:t>CQHGZYXY-202138</w:t>
      </w:r>
      <w:r>
        <w:rPr>
          <w:rFonts w:hint="eastAsia" w:ascii="仿宋" w:hAnsi="仿宋" w:eastAsia="仿宋"/>
          <w:color w:val="000000"/>
          <w:sz w:val="24"/>
          <w:szCs w:val="24"/>
        </w:rPr>
        <w:t>。</w:t>
      </w:r>
      <w:r>
        <w:rPr>
          <w:rFonts w:hint="eastAsia" w:ascii="仿宋" w:hAnsi="仿宋" w:eastAsia="仿宋"/>
          <w:sz w:val="24"/>
          <w:szCs w:val="24"/>
        </w:rPr>
        <w:t>欢迎有资格的供应商前来参加磋商。</w:t>
      </w:r>
    </w:p>
    <w:p>
      <w:pPr>
        <w:spacing w:line="400" w:lineRule="exact"/>
        <w:outlineLvl w:val="1"/>
        <w:rPr>
          <w:rFonts w:ascii="仿宋" w:hAnsi="仿宋" w:eastAsia="仿宋" w:cs="仿宋"/>
          <w:b/>
          <w:bCs/>
          <w:sz w:val="24"/>
          <w:szCs w:val="24"/>
        </w:rPr>
      </w:pPr>
      <w:bookmarkStart w:id="6" w:name="_Toc88838424"/>
      <w:bookmarkStart w:id="7" w:name="_Toc313893526"/>
      <w:bookmarkStart w:id="8" w:name="_Toc317775175"/>
      <w:r>
        <w:rPr>
          <w:rFonts w:hint="eastAsia" w:ascii="仿宋" w:hAnsi="仿宋" w:eastAsia="仿宋" w:cs="仿宋"/>
          <w:b/>
          <w:bCs/>
          <w:sz w:val="24"/>
          <w:szCs w:val="24"/>
        </w:rPr>
        <w:t>一、竞争性磋商内容</w:t>
      </w:r>
      <w:bookmarkEnd w:id="6"/>
      <w:bookmarkEnd w:id="7"/>
      <w:bookmarkEnd w:id="8"/>
    </w:p>
    <w:tbl>
      <w:tblPr>
        <w:tblStyle w:val="17"/>
        <w:tblW w:w="10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8"/>
        <w:gridCol w:w="1755"/>
        <w:gridCol w:w="1843"/>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1" w:hRule="atLeast"/>
          <w:jc w:val="center"/>
        </w:trPr>
        <w:tc>
          <w:tcPr>
            <w:tcW w:w="33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项目名称</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预算金额</w:t>
            </w:r>
          </w:p>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（万元）</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kern w:val="0"/>
                <w:sz w:val="24"/>
                <w:szCs w:val="24"/>
              </w:rPr>
            </w:pPr>
            <w:r>
              <w:rPr>
                <w:rFonts w:hint="eastAsia" w:ascii="仿宋" w:hAnsi="仿宋" w:eastAsia="仿宋" w:cs="仿宋"/>
                <w:b/>
                <w:bCs/>
                <w:kern w:val="0"/>
                <w:sz w:val="24"/>
                <w:szCs w:val="24"/>
              </w:rPr>
              <w:t>磋商保证金</w:t>
            </w:r>
          </w:p>
          <w:p>
            <w:pPr>
              <w:jc w:val="center"/>
              <w:rPr>
                <w:rFonts w:ascii="仿宋" w:hAnsi="仿宋" w:eastAsia="仿宋" w:cs="仿宋"/>
                <w:b/>
                <w:bCs/>
                <w:kern w:val="0"/>
                <w:sz w:val="24"/>
                <w:szCs w:val="24"/>
              </w:rPr>
            </w:pPr>
            <w:r>
              <w:rPr>
                <w:rFonts w:hint="eastAsia" w:ascii="仿宋" w:hAnsi="仿宋" w:eastAsia="仿宋" w:cs="仿宋"/>
                <w:b/>
                <w:bCs/>
                <w:kern w:val="0"/>
                <w:sz w:val="24"/>
                <w:szCs w:val="24"/>
              </w:rPr>
              <w:t>（万元）</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单价限高价</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308" w:type="dxa"/>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sz w:val="24"/>
                <w:szCs w:val="24"/>
              </w:rPr>
            </w:pPr>
            <w:bookmarkStart w:id="9" w:name="_Hlk344477914"/>
            <w:r>
              <w:rPr>
                <w:rFonts w:hint="eastAsia" w:ascii="仿宋" w:hAnsi="仿宋" w:eastAsia="仿宋"/>
                <w:sz w:val="24"/>
                <w:szCs w:val="24"/>
              </w:rPr>
              <w:t>2021年校方责任险购买</w:t>
            </w:r>
          </w:p>
        </w:tc>
        <w:tc>
          <w:tcPr>
            <w:tcW w:w="175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kern w:val="0"/>
                <w:sz w:val="24"/>
                <w:szCs w:val="24"/>
              </w:rPr>
            </w:pPr>
            <w:r>
              <w:rPr>
                <w:rFonts w:hint="eastAsia" w:ascii="仿宋" w:hAnsi="仿宋" w:eastAsia="仿宋" w:cs="仿宋"/>
                <w:kern w:val="0"/>
                <w:sz w:val="24"/>
                <w:szCs w:val="24"/>
              </w:rPr>
              <w:t xml:space="preserve"> 7.7</w:t>
            </w:r>
          </w:p>
        </w:tc>
        <w:tc>
          <w:tcPr>
            <w:tcW w:w="184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kern w:val="0"/>
                <w:sz w:val="24"/>
                <w:szCs w:val="24"/>
              </w:rPr>
            </w:pPr>
            <w:r>
              <w:rPr>
                <w:rFonts w:ascii="仿宋" w:hAnsi="仿宋" w:eastAsia="仿宋" w:cs="仿宋"/>
                <w:kern w:val="0"/>
                <w:sz w:val="24"/>
                <w:szCs w:val="24"/>
              </w:rPr>
              <w:t>0.05</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6元/人</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sz w:val="24"/>
                <w:szCs w:val="24"/>
              </w:rPr>
            </w:pPr>
            <w:r>
              <w:rPr>
                <w:rFonts w:hint="eastAsia" w:ascii="仿宋" w:hAnsi="仿宋" w:eastAsia="仿宋" w:cs="仿宋"/>
                <w:sz w:val="24"/>
                <w:szCs w:val="24"/>
              </w:rPr>
              <w:t>不接受联合体投标</w:t>
            </w:r>
          </w:p>
        </w:tc>
      </w:tr>
      <w:bookmarkEnd w:id="9"/>
    </w:tbl>
    <w:p>
      <w:pPr>
        <w:spacing w:line="400" w:lineRule="exact"/>
        <w:outlineLvl w:val="1"/>
        <w:rPr>
          <w:rFonts w:ascii="仿宋" w:hAnsi="仿宋" w:eastAsia="仿宋" w:cs="仿宋"/>
          <w:b/>
          <w:bCs/>
          <w:sz w:val="24"/>
          <w:szCs w:val="24"/>
        </w:rPr>
      </w:pPr>
      <w:bookmarkStart w:id="10" w:name="_Toc373860293"/>
      <w:bookmarkStart w:id="11" w:name="_Toc317775178"/>
    </w:p>
    <w:p>
      <w:pPr>
        <w:spacing w:line="400" w:lineRule="exact"/>
        <w:outlineLvl w:val="1"/>
        <w:rPr>
          <w:rFonts w:ascii="仿宋" w:hAnsi="仿宋" w:eastAsia="仿宋" w:cs="仿宋"/>
          <w:b/>
          <w:bCs/>
          <w:sz w:val="24"/>
          <w:szCs w:val="24"/>
        </w:rPr>
      </w:pPr>
      <w:bookmarkStart w:id="12" w:name="_Toc88838425"/>
      <w:r>
        <w:rPr>
          <w:rFonts w:hint="eastAsia" w:ascii="仿宋" w:hAnsi="仿宋" w:eastAsia="仿宋" w:cs="仿宋"/>
          <w:b/>
          <w:bCs/>
          <w:sz w:val="24"/>
          <w:szCs w:val="24"/>
        </w:rPr>
        <w:t>二、资金来源</w:t>
      </w:r>
      <w:bookmarkEnd w:id="12"/>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自筹资金。</w:t>
      </w:r>
    </w:p>
    <w:p>
      <w:pPr>
        <w:spacing w:line="400" w:lineRule="exact"/>
        <w:outlineLvl w:val="1"/>
        <w:rPr>
          <w:rFonts w:ascii="仿宋" w:hAnsi="仿宋" w:eastAsia="仿宋" w:cs="仿宋"/>
          <w:b/>
          <w:bCs/>
          <w:sz w:val="24"/>
          <w:szCs w:val="24"/>
        </w:rPr>
      </w:pPr>
      <w:bookmarkStart w:id="13" w:name="_Toc88838426"/>
      <w:r>
        <w:rPr>
          <w:rFonts w:hint="eastAsia" w:ascii="仿宋" w:hAnsi="仿宋" w:eastAsia="仿宋" w:cs="仿宋"/>
          <w:b/>
          <w:bCs/>
          <w:sz w:val="24"/>
          <w:szCs w:val="24"/>
        </w:rPr>
        <w:t>三、供应商资格条件</w:t>
      </w:r>
      <w:bookmarkEnd w:id="13"/>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合格的响应人应首先符合政府采购法第二十二条规定的基本条件，同时符合根据该项目特殊要求设置的其他资格条件。</w:t>
      </w:r>
    </w:p>
    <w:p>
      <w:pPr>
        <w:spacing w:line="480" w:lineRule="exact"/>
        <w:ind w:firstLine="480" w:firstLineChars="200"/>
        <w:rPr>
          <w:rFonts w:ascii="仿宋" w:hAnsi="仿宋" w:eastAsia="仿宋" w:cs="仿宋"/>
          <w:sz w:val="24"/>
          <w:szCs w:val="24"/>
        </w:rPr>
      </w:pPr>
      <w:bookmarkStart w:id="14" w:name="_Toc27726"/>
      <w:r>
        <w:rPr>
          <w:rFonts w:hint="eastAsia" w:ascii="仿宋" w:hAnsi="仿宋" w:eastAsia="仿宋" w:cs="仿宋"/>
          <w:sz w:val="24"/>
          <w:szCs w:val="24"/>
        </w:rPr>
        <w:t>（一）基本资格条件</w:t>
      </w:r>
      <w:bookmarkEnd w:id="14"/>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（1）具有独立承担民事责任的能力；</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（2）具有良好的商业信誉和健全的财务会计制度；</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（3）有依法缴纳税收的良好记录；</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（4）参加政府采购活动前三年内，在经营活动中没有重大违法记录；</w:t>
      </w:r>
    </w:p>
    <w:p>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（5）法律、行政法规规定的其他条件。</w:t>
      </w:r>
    </w:p>
    <w:p>
      <w:pPr>
        <w:spacing w:line="400" w:lineRule="exact"/>
        <w:ind w:firstLine="480" w:firstLineChars="200"/>
        <w:rPr>
          <w:rFonts w:ascii="仿宋" w:hAnsi="仿宋" w:eastAsia="仿宋" w:cs="仿宋"/>
          <w:sz w:val="24"/>
          <w:szCs w:val="24"/>
        </w:rPr>
      </w:pPr>
      <w:bookmarkStart w:id="15" w:name="_Toc13192"/>
      <w:r>
        <w:rPr>
          <w:rFonts w:hint="eastAsia" w:ascii="仿宋" w:hAnsi="仿宋" w:eastAsia="仿宋" w:cs="仿宋"/>
          <w:sz w:val="24"/>
          <w:szCs w:val="24"/>
        </w:rPr>
        <w:t>（二）特定资格条件</w:t>
      </w:r>
      <w:bookmarkEnd w:id="15"/>
    </w:p>
    <w:p>
      <w:pPr>
        <w:pStyle w:val="7"/>
        <w:ind w:firstLine="720" w:firstLineChars="300"/>
        <w:rPr>
          <w:rFonts w:ascii="仿宋" w:hAnsi="仿宋" w:eastAsia="仿宋" w:cs="仿宋"/>
          <w:sz w:val="24"/>
          <w:szCs w:val="24"/>
        </w:rPr>
      </w:pPr>
      <w:r>
        <w:rPr>
          <w:rFonts w:hint="eastAsia" w:ascii="仿宋" w:hAnsi="仿宋" w:eastAsia="仿宋" w:cs="仿宋"/>
          <w:sz w:val="24"/>
          <w:szCs w:val="24"/>
        </w:rPr>
        <w:t>无</w:t>
      </w:r>
    </w:p>
    <w:p>
      <w:pPr>
        <w:pStyle w:val="7"/>
        <w:ind w:firstLine="723" w:firstLineChars="300"/>
        <w:rPr>
          <w:rFonts w:ascii="仿宋" w:hAnsi="仿宋" w:eastAsia="仿宋" w:cs="仿宋"/>
          <w:b/>
          <w:sz w:val="24"/>
          <w:szCs w:val="24"/>
        </w:rPr>
      </w:pPr>
      <w:r>
        <w:rPr>
          <w:rFonts w:hint="eastAsia" w:ascii="仿宋" w:hAnsi="仿宋" w:eastAsia="仿宋" w:cs="仿宋"/>
          <w:b/>
          <w:sz w:val="24"/>
          <w:szCs w:val="24"/>
        </w:rPr>
        <w:t>（三）资格条件装订要求：</w:t>
      </w:r>
      <w:r>
        <w:rPr>
          <w:rFonts w:hint="eastAsia" w:ascii="仿宋" w:hAnsi="仿宋" w:eastAsia="仿宋" w:cs="仿宋"/>
          <w:b/>
          <w:bCs/>
          <w:sz w:val="24"/>
          <w:szCs w:val="24"/>
        </w:rPr>
        <w:t>单独装订，一式三份</w:t>
      </w:r>
    </w:p>
    <w:p>
      <w:pPr>
        <w:spacing w:line="480" w:lineRule="exact"/>
        <w:outlineLvl w:val="1"/>
        <w:rPr>
          <w:rFonts w:ascii="仿宋" w:hAnsi="仿宋" w:eastAsia="仿宋" w:cs="仿宋"/>
          <w:b/>
          <w:bCs/>
          <w:sz w:val="24"/>
          <w:szCs w:val="24"/>
        </w:rPr>
      </w:pPr>
      <w:bookmarkStart w:id="16" w:name="_Toc88838427"/>
      <w:r>
        <w:rPr>
          <w:rFonts w:hint="eastAsia" w:ascii="仿宋" w:hAnsi="仿宋" w:eastAsia="仿宋" w:cs="仿宋"/>
          <w:b/>
          <w:bCs/>
          <w:sz w:val="24"/>
          <w:szCs w:val="24"/>
        </w:rPr>
        <w:t>四、磋商有关说明</w:t>
      </w:r>
      <w:bookmarkEnd w:id="10"/>
      <w:bookmarkEnd w:id="16"/>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（一）凡有意参加磋商的供应商，请于公告发布之日2021年1</w:t>
      </w:r>
      <w:r>
        <w:rPr>
          <w:rFonts w:ascii="仿宋" w:hAnsi="仿宋" w:eastAsia="仿宋" w:cs="仿宋"/>
          <w:sz w:val="24"/>
          <w:szCs w:val="24"/>
        </w:rPr>
        <w:t>2</w:t>
      </w:r>
      <w:r>
        <w:rPr>
          <w:rFonts w:hint="eastAsia" w:ascii="仿宋" w:hAnsi="仿宋" w:eastAsia="仿宋" w:cs="仿宋"/>
          <w:sz w:val="24"/>
          <w:szCs w:val="24"/>
        </w:rPr>
        <w:t>月</w:t>
      </w:r>
      <w:r>
        <w:rPr>
          <w:rFonts w:hint="eastAsia" w:ascii="仿宋" w:hAnsi="仿宋" w:eastAsia="仿宋" w:cs="仿宋"/>
          <w:sz w:val="24"/>
          <w:szCs w:val="24"/>
          <w:lang w:val="en-US" w:eastAsia="zh-CN"/>
        </w:rPr>
        <w:t>22</w:t>
      </w:r>
      <w:r>
        <w:rPr>
          <w:rFonts w:hint="eastAsia" w:ascii="仿宋" w:hAnsi="仿宋" w:eastAsia="仿宋" w:cs="仿宋"/>
          <w:sz w:val="24"/>
          <w:szCs w:val="24"/>
        </w:rPr>
        <w:t>日起至提交响应文件截止时间之前，在“</w:t>
      </w:r>
      <w:r>
        <w:rPr>
          <w:rFonts w:hint="eastAsia" w:ascii="仿宋" w:hAnsi="仿宋" w:eastAsia="仿宋" w:cs="宋体"/>
          <w:sz w:val="24"/>
          <w:szCs w:val="24"/>
        </w:rPr>
        <w:t>重庆化工职业学院校园网”（http://www.c</w:t>
      </w:r>
      <w:r>
        <w:rPr>
          <w:rFonts w:ascii="仿宋" w:hAnsi="仿宋" w:eastAsia="仿宋" w:cs="宋体"/>
          <w:sz w:val="24"/>
          <w:szCs w:val="24"/>
        </w:rPr>
        <w:t>qcivc.edu.cn</w:t>
      </w:r>
      <w:r>
        <w:rPr>
          <w:rFonts w:hint="eastAsia" w:ascii="仿宋" w:hAnsi="仿宋" w:eastAsia="仿宋" w:cs="宋体"/>
          <w:sz w:val="24"/>
          <w:szCs w:val="24"/>
        </w:rPr>
        <w:t>）</w:t>
      </w:r>
      <w:r>
        <w:rPr>
          <w:rFonts w:hint="eastAsia" w:ascii="仿宋" w:hAnsi="仿宋" w:eastAsia="仿宋" w:cs="仿宋"/>
          <w:sz w:val="24"/>
          <w:szCs w:val="24"/>
        </w:rPr>
        <w:t>下载本项目竞争性磋商文件以及补遗等磋商前公布的所有项目资料，无论供应商下载与否，均视为已知晓所有磋商实质性要求内容。</w:t>
      </w:r>
    </w:p>
    <w:p>
      <w:pPr>
        <w:spacing w:line="380" w:lineRule="exact"/>
        <w:ind w:firstLine="480" w:firstLineChars="200"/>
      </w:pPr>
      <w:r>
        <w:rPr>
          <w:rFonts w:hint="eastAsia" w:ascii="仿宋" w:hAnsi="仿宋" w:eastAsia="仿宋" w:cs="仿宋"/>
          <w:sz w:val="24"/>
          <w:szCs w:val="24"/>
        </w:rPr>
        <w:t>（二）</w:t>
      </w:r>
      <w:r>
        <w:rPr>
          <w:rFonts w:hint="eastAsia" w:ascii="仿宋" w:hAnsi="仿宋" w:eastAsia="仿宋" w:cs="宋体"/>
          <w:sz w:val="24"/>
          <w:szCs w:val="24"/>
        </w:rPr>
        <w:t>招标文件购买费为： 200元/份（售后不退）。</w:t>
      </w:r>
    </w:p>
    <w:p>
      <w:pPr>
        <w:pStyle w:val="15"/>
        <w:spacing w:line="380" w:lineRule="exact"/>
        <w:ind w:firstLine="480" w:firstLineChars="200"/>
        <w:jc w:val="both"/>
        <w:rPr>
          <w:rFonts w:ascii="仿宋" w:hAnsi="仿宋" w:eastAsia="仿宋" w:cs="仿宋"/>
          <w:sz w:val="24"/>
          <w:szCs w:val="24"/>
        </w:rPr>
      </w:pPr>
      <w:r>
        <w:rPr>
          <w:rFonts w:hint="eastAsia" w:ascii="仿宋" w:hAnsi="仿宋" w:eastAsia="仿宋" w:cs="仿宋"/>
          <w:sz w:val="24"/>
          <w:szCs w:val="24"/>
        </w:rPr>
        <w:t>（三）报名时间：响应文件递交截止时间前</w:t>
      </w:r>
    </w:p>
    <w:p>
      <w:pPr>
        <w:pStyle w:val="15"/>
        <w:spacing w:line="380" w:lineRule="exact"/>
        <w:jc w:val="left"/>
        <w:rPr>
          <w:rFonts w:ascii="仿宋" w:hAnsi="仿宋" w:eastAsia="仿宋" w:cs="仿宋"/>
          <w:sz w:val="24"/>
          <w:szCs w:val="24"/>
        </w:rPr>
      </w:pPr>
      <w:r>
        <w:rPr>
          <w:rFonts w:hint="eastAsia" w:ascii="仿宋" w:hAnsi="仿宋" w:eastAsia="仿宋" w:cs="仿宋"/>
          <w:sz w:val="24"/>
          <w:szCs w:val="24"/>
        </w:rPr>
        <w:t>报名时将营业执照等基本资格条件扫描件发送至：</w:t>
      </w:r>
      <w:r>
        <w:rPr>
          <w:rFonts w:hint="eastAsia" w:ascii="宋体" w:hAnsi="宋体"/>
          <w:sz w:val="24"/>
          <w:szCs w:val="24"/>
        </w:rPr>
        <w:t>jjhqc@cqcivc.edu.cn</w:t>
      </w:r>
      <w:r>
        <w:rPr>
          <w:rFonts w:hint="eastAsia" w:ascii="仿宋" w:hAnsi="仿宋" w:eastAsia="仿宋" w:cs="仿宋"/>
          <w:sz w:val="24"/>
          <w:szCs w:val="24"/>
        </w:rPr>
        <w:t>。咨询电话：023-81886050。</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（四）投标人须满足以下三种要件，其响应文件才被接受：</w:t>
      </w:r>
    </w:p>
    <w:p>
      <w:pPr>
        <w:spacing w:line="380" w:lineRule="exact"/>
        <w:ind w:firstLine="720" w:firstLineChars="300"/>
        <w:rPr>
          <w:rFonts w:ascii="仿宋" w:hAnsi="仿宋" w:eastAsia="仿宋" w:cs="仿宋"/>
          <w:sz w:val="24"/>
          <w:szCs w:val="24"/>
        </w:rPr>
      </w:pPr>
      <w:r>
        <w:rPr>
          <w:rFonts w:hint="eastAsia" w:ascii="仿宋" w:hAnsi="仿宋" w:eastAsia="仿宋" w:cs="仿宋"/>
          <w:sz w:val="24"/>
          <w:szCs w:val="24"/>
        </w:rPr>
        <w:t>1、按时递交了响应文件；</w:t>
      </w:r>
    </w:p>
    <w:p>
      <w:pPr>
        <w:spacing w:line="380" w:lineRule="exact"/>
        <w:ind w:firstLine="720" w:firstLineChars="300"/>
        <w:rPr>
          <w:rFonts w:ascii="仿宋" w:hAnsi="仿宋" w:eastAsia="仿宋" w:cs="仿宋"/>
          <w:sz w:val="24"/>
          <w:szCs w:val="24"/>
        </w:rPr>
      </w:pPr>
      <w:r>
        <w:rPr>
          <w:rFonts w:hint="eastAsia" w:ascii="仿宋" w:hAnsi="仿宋" w:eastAsia="仿宋" w:cs="仿宋"/>
          <w:sz w:val="24"/>
          <w:szCs w:val="24"/>
        </w:rPr>
        <w:t>2、按时缴纳了招标文件购买费；</w:t>
      </w:r>
    </w:p>
    <w:p>
      <w:pPr>
        <w:spacing w:line="380" w:lineRule="exact"/>
        <w:ind w:firstLine="720" w:firstLineChars="300"/>
        <w:rPr>
          <w:rFonts w:ascii="仿宋" w:hAnsi="仿宋" w:eastAsia="仿宋" w:cs="仿宋"/>
          <w:sz w:val="24"/>
          <w:szCs w:val="24"/>
        </w:rPr>
      </w:pPr>
      <w:r>
        <w:rPr>
          <w:rFonts w:hint="eastAsia" w:ascii="仿宋" w:hAnsi="仿宋" w:eastAsia="仿宋" w:cs="仿宋"/>
          <w:sz w:val="24"/>
          <w:szCs w:val="24"/>
        </w:rPr>
        <w:t>3、按时交纳磋商保证金。</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（五）磋商地点：</w:t>
      </w:r>
      <w:r>
        <w:rPr>
          <w:rFonts w:hint="eastAsia" w:ascii="仿宋" w:hAnsi="仿宋" w:eastAsia="仿宋" w:cs="宋体"/>
          <w:sz w:val="24"/>
          <w:szCs w:val="24"/>
        </w:rPr>
        <w:t>重庆化工职业学院综合楼205（重庆市长寿区菩提东路2009号）；</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（六）提交响应文件起止时间：2021年</w:t>
      </w:r>
      <w:r>
        <w:rPr>
          <w:rFonts w:hint="eastAsia" w:ascii="仿宋" w:hAnsi="仿宋" w:eastAsia="仿宋" w:cs="仿宋"/>
          <w:sz w:val="24"/>
          <w:szCs w:val="24"/>
          <w:lang w:val="en-US" w:eastAsia="zh-CN"/>
        </w:rPr>
        <w:t>1</w:t>
      </w:r>
      <w:r>
        <w:rPr>
          <w:rFonts w:hint="eastAsia" w:ascii="仿宋" w:hAnsi="仿宋" w:eastAsia="仿宋" w:cs="仿宋"/>
          <w:sz w:val="24"/>
          <w:szCs w:val="24"/>
        </w:rPr>
        <w:t>月</w:t>
      </w:r>
      <w:r>
        <w:rPr>
          <w:rFonts w:hint="eastAsia" w:ascii="仿宋" w:hAnsi="仿宋" w:eastAsia="仿宋" w:cs="仿宋"/>
          <w:sz w:val="24"/>
          <w:szCs w:val="24"/>
          <w:lang w:val="en-US" w:eastAsia="zh-CN"/>
        </w:rPr>
        <w:t>3</w:t>
      </w:r>
      <w:r>
        <w:rPr>
          <w:rFonts w:hint="eastAsia" w:ascii="仿宋" w:hAnsi="仿宋" w:eastAsia="仿宋" w:cs="仿宋"/>
          <w:sz w:val="24"/>
          <w:szCs w:val="24"/>
        </w:rPr>
        <w:t>日北京时间9:40-10:00。</w:t>
      </w:r>
    </w:p>
    <w:p>
      <w:pPr>
        <w:spacing w:line="380" w:lineRule="exact"/>
        <w:ind w:firstLine="480" w:firstLineChars="200"/>
        <w:rPr>
          <w:rFonts w:ascii="仿宋" w:hAnsi="仿宋" w:eastAsia="仿宋" w:cs="仿宋"/>
          <w:sz w:val="24"/>
          <w:szCs w:val="24"/>
        </w:rPr>
      </w:pPr>
      <w:r>
        <w:rPr>
          <w:rFonts w:hint="eastAsia" w:ascii="仿宋" w:hAnsi="仿宋" w:eastAsia="仿宋" w:cs="仿宋"/>
          <w:sz w:val="24"/>
          <w:szCs w:val="24"/>
        </w:rPr>
        <w:t>（七）竞争性磋商开始时间：2021年</w:t>
      </w:r>
      <w:r>
        <w:rPr>
          <w:rFonts w:hint="eastAsia" w:ascii="仿宋" w:hAnsi="仿宋" w:eastAsia="仿宋" w:cs="仿宋"/>
          <w:sz w:val="24"/>
          <w:szCs w:val="24"/>
          <w:lang w:val="en-US" w:eastAsia="zh-CN"/>
        </w:rPr>
        <w:t>1</w:t>
      </w:r>
      <w:r>
        <w:rPr>
          <w:rFonts w:hint="eastAsia" w:ascii="仿宋" w:hAnsi="仿宋" w:eastAsia="仿宋" w:cs="仿宋"/>
          <w:sz w:val="24"/>
          <w:szCs w:val="24"/>
        </w:rPr>
        <w:t>月</w:t>
      </w:r>
      <w:r>
        <w:rPr>
          <w:rFonts w:hint="eastAsia" w:ascii="仿宋" w:hAnsi="仿宋" w:eastAsia="仿宋" w:cs="仿宋"/>
          <w:sz w:val="24"/>
          <w:szCs w:val="24"/>
          <w:lang w:val="en-US" w:eastAsia="zh-CN"/>
        </w:rPr>
        <w:t>3</w:t>
      </w:r>
      <w:r>
        <w:rPr>
          <w:rFonts w:hint="eastAsia" w:ascii="仿宋" w:hAnsi="仿宋" w:eastAsia="仿宋" w:cs="仿宋"/>
          <w:sz w:val="24"/>
          <w:szCs w:val="24"/>
        </w:rPr>
        <w:t>日北京时间10:00。</w:t>
      </w:r>
    </w:p>
    <w:bookmarkEnd w:id="11"/>
    <w:p>
      <w:pPr>
        <w:keepNext/>
        <w:keepLines/>
        <w:spacing w:before="260" w:after="260"/>
        <w:outlineLvl w:val="1"/>
        <w:rPr>
          <w:rFonts w:ascii="仿宋" w:hAnsi="仿宋" w:eastAsia="仿宋" w:cs="宋体"/>
          <w:sz w:val="24"/>
          <w:szCs w:val="24"/>
        </w:rPr>
      </w:pPr>
      <w:bookmarkStart w:id="17" w:name="_Toc67228836"/>
      <w:bookmarkStart w:id="18" w:name="_Toc15947"/>
      <w:bookmarkStart w:id="19" w:name="_Toc13331"/>
      <w:bookmarkStart w:id="20" w:name="_Toc7067"/>
      <w:bookmarkStart w:id="21" w:name="_Toc19498"/>
      <w:bookmarkStart w:id="22" w:name="_Toc6024"/>
      <w:bookmarkStart w:id="23" w:name="_Toc28308"/>
      <w:bookmarkStart w:id="24" w:name="_Toc27313"/>
      <w:bookmarkStart w:id="25" w:name="_Toc13221"/>
      <w:bookmarkStart w:id="26" w:name="_Toc4952"/>
      <w:bookmarkStart w:id="27" w:name="_Toc979"/>
      <w:bookmarkStart w:id="28" w:name="_Toc1649"/>
      <w:bookmarkStart w:id="29" w:name="_Toc21836"/>
      <w:bookmarkStart w:id="30" w:name="_Toc9883"/>
      <w:bookmarkStart w:id="31" w:name="_Toc88838428"/>
      <w:bookmarkStart w:id="32" w:name="_Toc77262111"/>
      <w:bookmarkStart w:id="33" w:name="_Toc480882256"/>
      <w:bookmarkStart w:id="34" w:name="_Toc20340"/>
      <w:bookmarkStart w:id="35" w:name="_Toc479668114"/>
      <w:bookmarkStart w:id="36" w:name="_Toc8466_WPSOffice_Level2"/>
      <w:r>
        <w:rPr>
          <w:rFonts w:hint="eastAsia" w:ascii="仿宋" w:hAnsi="仿宋" w:eastAsia="仿宋" w:cs="宋体"/>
          <w:b/>
          <w:sz w:val="24"/>
          <w:szCs w:val="24"/>
        </w:rPr>
        <w:t>五、保证金</w:t>
      </w:r>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hint="eastAsia" w:ascii="仿宋" w:hAnsi="仿宋" w:eastAsia="仿宋" w:cs="宋体"/>
          <w:b/>
          <w:sz w:val="24"/>
          <w:szCs w:val="24"/>
        </w:rPr>
        <w:t>、标书费缴纳与退还</w:t>
      </w:r>
      <w:bookmarkEnd w:id="31"/>
      <w:bookmarkEnd w:id="32"/>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（一）投标保证金和标书费相关事项</w:t>
      </w:r>
    </w:p>
    <w:p>
      <w:pPr>
        <w:spacing w:after="200" w:line="276" w:lineRule="auto"/>
        <w:ind w:firstLine="480" w:firstLineChars="200"/>
        <w:rPr>
          <w:rFonts w:ascii="仿宋" w:hAnsi="仿宋" w:eastAsia="仿宋"/>
          <w:color w:val="000000"/>
          <w:sz w:val="24"/>
          <w:szCs w:val="24"/>
        </w:rPr>
      </w:pPr>
      <w:r>
        <w:rPr>
          <w:rFonts w:hint="eastAsia" w:ascii="仿宋" w:hAnsi="仿宋" w:eastAsia="仿宋"/>
          <w:sz w:val="24"/>
          <w:szCs w:val="24"/>
        </w:rPr>
        <w:t>1、投标人须按本项目规定的投标保证金金额和标书费足额缴纳（保证金金额详见本篇，一、招标项目内容，</w:t>
      </w:r>
      <w:r>
        <w:rPr>
          <w:rFonts w:hint="eastAsia" w:ascii="仿宋" w:hAnsi="仿宋" w:eastAsia="仿宋"/>
          <w:sz w:val="24"/>
          <w:szCs w:val="24"/>
          <w:u w:val="single"/>
        </w:rPr>
        <w:t>标书费</w:t>
      </w:r>
      <w:r>
        <w:rPr>
          <w:rFonts w:ascii="仿宋" w:hAnsi="仿宋" w:eastAsia="仿宋"/>
          <w:color w:val="000000"/>
          <w:sz w:val="24"/>
          <w:szCs w:val="24"/>
          <w:u w:val="single"/>
        </w:rPr>
        <w:t>200元/份</w:t>
      </w:r>
      <w:r>
        <w:rPr>
          <w:rFonts w:hint="eastAsia" w:ascii="仿宋" w:hAnsi="仿宋" w:eastAsia="仿宋"/>
          <w:sz w:val="24"/>
          <w:szCs w:val="24"/>
        </w:rPr>
        <w:t>），由投标人从其基本账户汇至以下账户，保证金的到账截止时间为递交响应文件截止时间前1小时。</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保证金和标书费收取账户</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收款单位：重庆化工职业学院；</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开户行：中国建设银行长寿支行桃花新城分理处；</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账号：</w:t>
      </w:r>
      <w:r>
        <w:rPr>
          <w:rFonts w:ascii="仿宋" w:hAnsi="仿宋" w:eastAsia="仿宋" w:cs="宋体"/>
          <w:sz w:val="24"/>
          <w:szCs w:val="24"/>
        </w:rPr>
        <w:t>50001120041052506322</w:t>
      </w:r>
      <w:r>
        <w:rPr>
          <w:rFonts w:hint="eastAsia" w:ascii="仿宋" w:hAnsi="仿宋" w:eastAsia="仿宋" w:cs="宋体"/>
          <w:sz w:val="24"/>
          <w:szCs w:val="24"/>
        </w:rPr>
        <w:t>。</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（1）各供应商在银行转账（电汇）时，须充分考虑银行转账（电汇）的时间差风险，如同城转账、异地转账或汇款、跨行转账或电汇的时间要求。</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（2）各供应商在递交保证金时，到款账户为上述指定的保证金专用账户，来款账户必须为公司基本账户。</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w:t>
      </w:r>
      <w:r>
        <w:rPr>
          <w:rFonts w:ascii="仿宋" w:hAnsi="仿宋" w:eastAsia="仿宋" w:cs="宋体"/>
          <w:sz w:val="24"/>
          <w:szCs w:val="24"/>
        </w:rPr>
        <w:t>3</w:t>
      </w:r>
      <w:r>
        <w:rPr>
          <w:rFonts w:hint="eastAsia" w:ascii="仿宋" w:hAnsi="仿宋" w:eastAsia="仿宋" w:cs="宋体"/>
          <w:sz w:val="24"/>
          <w:szCs w:val="24"/>
        </w:rPr>
        <w:t>）投标保证金和标书费单笔一并缴纳。</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（4）汇款的供应商必须在付款凭证备注栏中注明 “CQHGZYXY-202138”的采购计划编号，以便采购人开具缴费收据；并在投标文件中附纸质的转账凭证；纸质的转账凭证必须盖章并随身携带，在递交响应文件的同时递交；电子转账凭证的清晰截图必须以公司名称加项目名称命名发至专门接收保证金退还账户信息的邮箱：</w:t>
      </w:r>
      <w:r>
        <w:fldChar w:fldCharType="begin"/>
      </w:r>
      <w:r>
        <w:instrText xml:space="preserve"> HYPERLINK "mailto:1759401629@qq.com" </w:instrText>
      </w:r>
      <w:r>
        <w:fldChar w:fldCharType="separate"/>
      </w:r>
      <w:r>
        <w:rPr>
          <w:rFonts w:hint="eastAsia" w:ascii="仿宋" w:hAnsi="仿宋" w:eastAsia="仿宋" w:cs="宋体"/>
          <w:color w:val="0000FF"/>
          <w:sz w:val="24"/>
          <w:szCs w:val="24"/>
          <w:u w:val="single"/>
        </w:rPr>
        <w:t>1</w:t>
      </w:r>
      <w:r>
        <w:rPr>
          <w:rFonts w:ascii="仿宋" w:hAnsi="仿宋" w:eastAsia="仿宋" w:cs="宋体"/>
          <w:color w:val="0000FF"/>
          <w:sz w:val="24"/>
          <w:szCs w:val="24"/>
          <w:u w:val="single"/>
        </w:rPr>
        <w:t>759401629@qq.com</w:t>
      </w:r>
      <w:r>
        <w:rPr>
          <w:rFonts w:ascii="仿宋" w:hAnsi="仿宋" w:eastAsia="仿宋" w:cs="宋体"/>
          <w:color w:val="0000FF"/>
          <w:sz w:val="24"/>
          <w:szCs w:val="24"/>
          <w:u w:val="single"/>
        </w:rPr>
        <w:fldChar w:fldCharType="end"/>
      </w:r>
      <w:r>
        <w:rPr>
          <w:rFonts w:hint="eastAsia" w:ascii="仿宋" w:hAnsi="仿宋" w:eastAsia="仿宋" w:cs="宋体"/>
          <w:sz w:val="24"/>
          <w:szCs w:val="24"/>
        </w:rPr>
        <w:t>。</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（二）投标保证金退还方式</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未中标单位的投标保证金，在中标通知书发出后十个工作日内按来款渠道直接退还。</w:t>
      </w:r>
    </w:p>
    <w:p>
      <w:pPr>
        <w:spacing w:line="380" w:lineRule="exact"/>
        <w:outlineLvl w:val="1"/>
        <w:rPr>
          <w:rFonts w:ascii="仿宋" w:hAnsi="仿宋" w:eastAsia="仿宋" w:cs="宋体"/>
          <w:b/>
          <w:bCs/>
          <w:sz w:val="24"/>
          <w:szCs w:val="24"/>
        </w:rPr>
      </w:pPr>
      <w:bookmarkStart w:id="37" w:name="_Toc88838429"/>
      <w:r>
        <w:rPr>
          <w:rFonts w:hint="eastAsia" w:ascii="仿宋" w:hAnsi="仿宋" w:eastAsia="仿宋" w:cs="宋体"/>
          <w:b/>
          <w:bCs/>
          <w:sz w:val="24"/>
          <w:szCs w:val="24"/>
        </w:rPr>
        <w:t>六、采购项目需落实的政府采购政策</w:t>
      </w:r>
      <w:bookmarkEnd w:id="33"/>
      <w:bookmarkEnd w:id="34"/>
      <w:bookmarkEnd w:id="35"/>
      <w:bookmarkEnd w:id="36"/>
      <w:bookmarkEnd w:id="37"/>
    </w:p>
    <w:p>
      <w:pPr>
        <w:spacing w:after="200" w:line="276" w:lineRule="auto"/>
        <w:ind w:firstLine="480" w:firstLineChars="200"/>
        <w:rPr>
          <w:rFonts w:ascii="仿宋" w:hAnsi="仿宋" w:eastAsia="仿宋" w:cs="宋体"/>
          <w:sz w:val="24"/>
          <w:szCs w:val="24"/>
        </w:rPr>
      </w:pPr>
      <w:bookmarkStart w:id="38" w:name="_Toc9196"/>
      <w:bookmarkStart w:id="39" w:name="_Toc20933_WPSOffice_Level2"/>
      <w:r>
        <w:rPr>
          <w:rFonts w:hint="eastAsia" w:ascii="仿宋" w:hAnsi="仿宋" w:eastAsia="仿宋" w:cs="宋体"/>
          <w:sz w:val="24"/>
          <w:szCs w:val="24"/>
        </w:rPr>
        <w:t>（一）按照《财政部 生态环境部关于印发环境标志产品政府采购品目清单的通知》（财库〔2019〕18号）和《财政部 发展改革委关于印发节能产品政府采购品目清单的通知》（财库〔2019〕19号）的规定，落实国家节能环保政策。</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（二）按照财政部、工业和信息化部关于印发《政府采购促进中小企业发展管理办法》的通知（财库〔2020〕46号）的规定，落实促进中小企业发展政策。</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（三）按照《财政部、司法部关于政府采购支持监狱企业发展有关问题的通知》（财库〔2014〕68号）的规定，落实支持监狱企业发展政策。</w:t>
      </w:r>
    </w:p>
    <w:p>
      <w:pPr>
        <w:spacing w:after="200" w:line="276" w:lineRule="auto"/>
        <w:ind w:firstLine="480" w:firstLineChars="200"/>
        <w:rPr>
          <w:rFonts w:ascii="仿宋" w:hAnsi="仿宋" w:eastAsia="仿宋" w:cs="宋体"/>
          <w:sz w:val="24"/>
          <w:szCs w:val="24"/>
        </w:rPr>
      </w:pPr>
      <w:r>
        <w:rPr>
          <w:rFonts w:hint="eastAsia" w:ascii="仿宋" w:hAnsi="仿宋" w:eastAsia="仿宋" w:cs="宋体"/>
          <w:sz w:val="24"/>
          <w:szCs w:val="24"/>
        </w:rPr>
        <w:t>（四）按照《三部门联合发布关于促进残疾人就业政府采购政策的通知》（财库〔2017〕 141号）的规定，落实支持残疾人福利性单位发展政策。</w:t>
      </w:r>
    </w:p>
    <w:p>
      <w:pPr>
        <w:spacing w:line="480" w:lineRule="exact"/>
        <w:outlineLvl w:val="1"/>
        <w:rPr>
          <w:rFonts w:ascii="仿宋" w:hAnsi="仿宋" w:eastAsia="仿宋" w:cs="宋体"/>
          <w:b/>
          <w:bCs/>
          <w:sz w:val="24"/>
          <w:szCs w:val="24"/>
        </w:rPr>
      </w:pPr>
      <w:bookmarkStart w:id="40" w:name="_Toc88838430"/>
      <w:r>
        <w:rPr>
          <w:rFonts w:hint="eastAsia" w:ascii="仿宋" w:hAnsi="仿宋" w:eastAsia="仿宋" w:cs="宋体"/>
          <w:b/>
          <w:bCs/>
          <w:sz w:val="24"/>
          <w:szCs w:val="24"/>
        </w:rPr>
        <w:t>七、其它有关规定</w:t>
      </w:r>
      <w:bookmarkEnd w:id="38"/>
      <w:bookmarkEnd w:id="39"/>
      <w:bookmarkEnd w:id="40"/>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（一）单位负责人为同一人或者存在直接控股、管理关系的不同供应商，不得参加同一合同项（分包）下的政府采购活动，否则均为无效磋商。</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（二）为采购项目提供整体设计、规范编制或者项目管理、监理、检测等服务的供应商，不得再参加该采购项目的其他采购活动。</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（三）同一合同项（分包）下为单一品目的货物采购中，同一品牌同一型号产品有多家供应商参加磋商，只能按照一家供应商计算。</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（四）同一合同项（分包）下的货物，制造商参与磋商的，不得再委托代理商参与磋商。</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（五）本项目的补遗文件（如果有）一律在重庆化工职业学院官网（http://www.</w:t>
      </w:r>
      <w:r>
        <w:rPr>
          <w:rFonts w:ascii="仿宋" w:hAnsi="仿宋" w:eastAsia="仿宋" w:cs="宋体"/>
          <w:sz w:val="24"/>
          <w:szCs w:val="24"/>
        </w:rPr>
        <w:t>cqcivc.edu.cn</w:t>
      </w:r>
      <w:r>
        <w:rPr>
          <w:rFonts w:hint="eastAsia" w:ascii="仿宋" w:hAnsi="仿宋" w:eastAsia="仿宋" w:cs="宋体"/>
          <w:sz w:val="24"/>
          <w:szCs w:val="24"/>
        </w:rPr>
        <w:t>）上发布，请各供应商注意下载；无论供应商下载与否，均视同供应商已知晓本项目补遗文件（如果有）的内容。</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（六）超过响应文件截止时间递交的响应文件，恕不接收。</w:t>
      </w:r>
    </w:p>
    <w:p>
      <w:pPr>
        <w:snapToGrid w:val="0"/>
        <w:spacing w:line="380" w:lineRule="exact"/>
        <w:ind w:firstLine="360" w:firstLineChars="150"/>
        <w:rPr>
          <w:rFonts w:ascii="仿宋" w:hAnsi="仿宋" w:eastAsia="仿宋" w:cs="宋体"/>
          <w:sz w:val="24"/>
          <w:szCs w:val="24"/>
        </w:rPr>
      </w:pPr>
      <w:r>
        <w:rPr>
          <w:rFonts w:hint="eastAsia" w:ascii="仿宋" w:hAnsi="仿宋" w:eastAsia="仿宋" w:cs="宋体"/>
          <w:sz w:val="24"/>
          <w:szCs w:val="24"/>
        </w:rPr>
        <w:t>（七）磋商费用：无论磋商结果如何，供应商参与本项目磋商的所有费用均应由供应商自行承担。</w:t>
      </w:r>
    </w:p>
    <w:p>
      <w:pPr>
        <w:snapToGrid w:val="0"/>
        <w:spacing w:line="380" w:lineRule="exact"/>
        <w:ind w:firstLine="480" w:firstLineChars="200"/>
        <w:rPr>
          <w:rFonts w:ascii="仿宋" w:hAnsi="仿宋" w:eastAsia="仿宋" w:cs="仿宋"/>
          <w:sz w:val="24"/>
          <w:szCs w:val="24"/>
        </w:rPr>
      </w:pPr>
      <w:r>
        <w:rPr>
          <w:rFonts w:hint="eastAsia" w:ascii="仿宋" w:hAnsi="仿宋" w:eastAsia="仿宋" w:cs="宋体"/>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pPr>
        <w:outlineLvl w:val="1"/>
        <w:rPr>
          <w:rFonts w:ascii="仿宋" w:hAnsi="仿宋" w:eastAsia="仿宋" w:cs="仿宋"/>
          <w:b/>
          <w:bCs/>
          <w:sz w:val="24"/>
          <w:szCs w:val="24"/>
        </w:rPr>
      </w:pPr>
      <w:bookmarkStart w:id="41" w:name="_Toc88838431"/>
      <w:r>
        <w:rPr>
          <w:rFonts w:hint="eastAsia" w:ascii="仿宋" w:hAnsi="仿宋" w:eastAsia="仿宋" w:cs="仿宋"/>
          <w:b/>
          <w:bCs/>
          <w:sz w:val="24"/>
          <w:szCs w:val="24"/>
        </w:rPr>
        <w:t>八、联系方式</w:t>
      </w:r>
      <w:bookmarkEnd w:id="41"/>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采购人：重庆化工职业学院</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联系人：黄老师（招投标办公室）</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电  话：</w:t>
      </w:r>
      <w:r>
        <w:rPr>
          <w:rStyle w:val="22"/>
          <w:rFonts w:hint="eastAsia" w:ascii="仿宋" w:hAnsi="仿宋" w:eastAsia="仿宋" w:cs="宋体"/>
          <w:sz w:val="24"/>
          <w:szCs w:val="24"/>
        </w:rPr>
        <w:t>023-</w:t>
      </w:r>
      <w:r>
        <w:rPr>
          <w:rFonts w:hint="eastAsia" w:ascii="仿宋" w:hAnsi="仿宋" w:eastAsia="仿宋" w:cs="宋体"/>
          <w:sz w:val="24"/>
          <w:szCs w:val="24"/>
        </w:rPr>
        <w:t>81886050</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项目联系人：刘老师</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 xml:space="preserve">电  话： </w:t>
      </w:r>
      <w:r>
        <w:rPr>
          <w:rFonts w:ascii="仿宋" w:hAnsi="仿宋" w:eastAsia="仿宋" w:cs="宋体"/>
          <w:sz w:val="24"/>
          <w:szCs w:val="24"/>
        </w:rPr>
        <w:t>023</w:t>
      </w:r>
      <w:r>
        <w:rPr>
          <w:rFonts w:hint="eastAsia" w:ascii="仿宋" w:hAnsi="仿宋" w:eastAsia="仿宋" w:cs="宋体"/>
          <w:sz w:val="24"/>
          <w:szCs w:val="24"/>
        </w:rPr>
        <w:t>-</w:t>
      </w:r>
      <w:r>
        <w:rPr>
          <w:rFonts w:ascii="仿宋" w:hAnsi="仿宋" w:eastAsia="仿宋" w:cs="宋体"/>
          <w:sz w:val="24"/>
          <w:szCs w:val="24"/>
        </w:rPr>
        <w:t>81886013</w:t>
      </w:r>
    </w:p>
    <w:p>
      <w:pPr>
        <w:snapToGrid w:val="0"/>
        <w:spacing w:line="380" w:lineRule="exact"/>
        <w:ind w:firstLine="480" w:firstLineChars="200"/>
        <w:rPr>
          <w:rFonts w:ascii="仿宋" w:hAnsi="仿宋" w:eastAsia="仿宋" w:cs="宋体"/>
          <w:sz w:val="24"/>
          <w:szCs w:val="24"/>
        </w:rPr>
      </w:pPr>
      <w:r>
        <w:rPr>
          <w:rFonts w:hint="eastAsia" w:ascii="仿宋" w:hAnsi="仿宋" w:eastAsia="仿宋" w:cs="宋体"/>
          <w:sz w:val="24"/>
          <w:szCs w:val="24"/>
        </w:rPr>
        <w:t>地  址：重庆市长寿区菩提东路2009号</w:t>
      </w:r>
    </w:p>
    <w:p>
      <w:pPr>
        <w:ind w:firstLine="480" w:firstLineChars="200"/>
        <w:rPr>
          <w:rStyle w:val="22"/>
          <w:rFonts w:ascii="仿宋" w:hAnsi="仿宋" w:eastAsia="仿宋" w:cs="宋体"/>
          <w:sz w:val="24"/>
          <w:szCs w:val="24"/>
        </w:rPr>
      </w:pPr>
      <w:r>
        <w:rPr>
          <w:rStyle w:val="22"/>
          <w:rFonts w:hint="eastAsia" w:ascii="仿宋" w:hAnsi="仿宋" w:eastAsia="仿宋" w:cs="宋体"/>
          <w:sz w:val="24"/>
          <w:szCs w:val="24"/>
        </w:rPr>
        <w:t>项目监督人：艾老师</w:t>
      </w:r>
    </w:p>
    <w:p>
      <w:pPr>
        <w:ind w:firstLine="480" w:firstLineChars="200"/>
        <w:rPr>
          <w:rStyle w:val="22"/>
          <w:rFonts w:ascii="仿宋" w:hAnsi="仿宋" w:eastAsia="仿宋" w:cs="宋体"/>
          <w:sz w:val="24"/>
          <w:szCs w:val="24"/>
        </w:rPr>
      </w:pPr>
      <w:r>
        <w:rPr>
          <w:rStyle w:val="22"/>
          <w:rFonts w:hint="eastAsia" w:ascii="仿宋" w:hAnsi="仿宋" w:eastAsia="仿宋" w:cs="宋体"/>
          <w:sz w:val="24"/>
          <w:szCs w:val="24"/>
        </w:rPr>
        <w:t>监督电话：023-</w:t>
      </w:r>
      <w:r>
        <w:rPr>
          <w:rStyle w:val="22"/>
          <w:rFonts w:ascii="仿宋" w:hAnsi="仿宋" w:eastAsia="仿宋" w:cs="宋体"/>
          <w:sz w:val="24"/>
          <w:szCs w:val="24"/>
        </w:rPr>
        <w:t>81886125</w:t>
      </w:r>
    </w:p>
    <w:p>
      <w:pPr>
        <w:ind w:firstLine="480" w:firstLineChars="200"/>
        <w:rPr>
          <w:rFonts w:ascii="仿宋" w:hAnsi="仿宋" w:eastAsia="仿宋" w:cs="宋体"/>
          <w:sz w:val="24"/>
          <w:szCs w:val="24"/>
        </w:rPr>
      </w:pPr>
      <w:r>
        <w:rPr>
          <w:rStyle w:val="22"/>
          <w:rFonts w:hint="eastAsia" w:ascii="仿宋" w:hAnsi="仿宋" w:eastAsia="仿宋" w:cs="宋体"/>
          <w:sz w:val="24"/>
          <w:szCs w:val="24"/>
        </w:rPr>
        <w:t>学校纪检监察部门电话：023-81886017</w:t>
      </w:r>
    </w:p>
    <w:p>
      <w:pPr>
        <w:spacing w:line="360" w:lineRule="auto"/>
        <w:jc w:val="center"/>
        <w:outlineLvl w:val="0"/>
        <w:rPr>
          <w:rFonts w:ascii="仿宋" w:hAnsi="仿宋" w:eastAsia="仿宋" w:cs="仿宋"/>
          <w:b/>
          <w:bCs/>
          <w:sz w:val="36"/>
          <w:szCs w:val="30"/>
        </w:rPr>
      </w:pPr>
      <w:bookmarkStart w:id="42" w:name="_Toc102227313"/>
      <w:r>
        <w:rPr>
          <w:rFonts w:hint="eastAsia" w:ascii="仿宋" w:hAnsi="仿宋" w:eastAsia="仿宋" w:cs="仿宋"/>
          <w:b/>
          <w:bCs/>
          <w:sz w:val="36"/>
          <w:szCs w:val="30"/>
        </w:rPr>
        <w:br w:type="page"/>
      </w:r>
      <w:bookmarkStart w:id="43" w:name="_Toc88838432"/>
      <w:r>
        <w:rPr>
          <w:rFonts w:hint="eastAsia" w:ascii="仿宋" w:hAnsi="仿宋" w:eastAsia="仿宋" w:cs="仿宋"/>
          <w:b/>
          <w:bCs/>
          <w:sz w:val="36"/>
          <w:szCs w:val="30"/>
        </w:rPr>
        <w:t>第二篇  供应商须知</w:t>
      </w:r>
      <w:bookmarkEnd w:id="42"/>
      <w:bookmarkEnd w:id="43"/>
    </w:p>
    <w:p>
      <w:pPr>
        <w:spacing w:line="440" w:lineRule="exact"/>
        <w:outlineLvl w:val="1"/>
        <w:rPr>
          <w:rFonts w:ascii="仿宋" w:hAnsi="仿宋" w:eastAsia="仿宋" w:cs="仿宋"/>
          <w:b/>
          <w:bCs/>
          <w:sz w:val="24"/>
          <w:szCs w:val="24"/>
        </w:rPr>
      </w:pPr>
      <w:bookmarkStart w:id="44" w:name="_Toc466546925"/>
      <w:bookmarkStart w:id="45" w:name="_Toc342913389"/>
      <w:bookmarkStart w:id="46" w:name="_Toc88838433"/>
      <w:r>
        <w:rPr>
          <w:rFonts w:hint="eastAsia" w:ascii="仿宋" w:hAnsi="仿宋" w:eastAsia="仿宋" w:cs="仿宋"/>
          <w:b/>
          <w:bCs/>
          <w:sz w:val="24"/>
          <w:szCs w:val="24"/>
        </w:rPr>
        <w:t>一、磋商费用</w:t>
      </w:r>
      <w:bookmarkEnd w:id="44"/>
      <w:bookmarkEnd w:id="45"/>
      <w:bookmarkEnd w:id="46"/>
    </w:p>
    <w:p>
      <w:pPr>
        <w:pStyle w:val="23"/>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参与磋商的供应商应承担其编制响应文件与递交响应文件所涉及的一切费用，不论磋商结果如何，采购人在任何情况下无义务也无责任承担这些费用。</w:t>
      </w:r>
    </w:p>
    <w:p>
      <w:pPr>
        <w:tabs>
          <w:tab w:val="left" w:pos="2640"/>
        </w:tabs>
        <w:spacing w:line="400" w:lineRule="exact"/>
        <w:outlineLvl w:val="1"/>
        <w:rPr>
          <w:rFonts w:ascii="仿宋" w:hAnsi="仿宋" w:eastAsia="仿宋" w:cs="仿宋"/>
          <w:b/>
          <w:bCs/>
          <w:sz w:val="24"/>
          <w:szCs w:val="24"/>
        </w:rPr>
      </w:pPr>
      <w:bookmarkStart w:id="47" w:name="_Toc88838434"/>
      <w:bookmarkStart w:id="48" w:name="_Toc466546926"/>
      <w:bookmarkStart w:id="49" w:name="_Toc342913391"/>
      <w:r>
        <w:rPr>
          <w:rFonts w:hint="eastAsia" w:ascii="仿宋" w:hAnsi="仿宋" w:eastAsia="仿宋" w:cs="仿宋"/>
          <w:b/>
          <w:bCs/>
          <w:sz w:val="24"/>
          <w:szCs w:val="24"/>
        </w:rPr>
        <w:t>二、竞争性磋商文件</w:t>
      </w:r>
      <w:bookmarkEnd w:id="47"/>
      <w:bookmarkEnd w:id="48"/>
      <w:bookmarkEnd w:id="49"/>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（一）竞争性磋商文件由采购邀请书、供应商须知、采购技术需求、采购服务需求、磋商程序及方法、评审标准、无效响应和采购终止、合同草案条款、响应文件编制要求七部分组成。</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（二）采购人所作的一切有效的书面通知、修改及补充，都是竞争性磋商文件不可分割的部分。</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w:t>
      </w:r>
      <w:bookmarkStart w:id="50" w:name="_Toc318159349"/>
      <w:bookmarkStart w:id="51" w:name="_Toc318159780"/>
      <w:bookmarkStart w:id="52" w:name="_Toc318159160"/>
      <w:bookmarkStart w:id="53" w:name="_Toc318166429"/>
      <w:r>
        <w:rPr>
          <w:rFonts w:hint="eastAsia" w:ascii="仿宋" w:hAnsi="仿宋" w:eastAsia="仿宋" w:cs="仿宋"/>
          <w:sz w:val="24"/>
          <w:szCs w:val="24"/>
        </w:rPr>
        <w:t>本竞争性磋商文件中，磋商小组根据与供应商进行磋商可能实质性变动的内容为竞争性磋商文件需求中的技术、服务要求以及合同草案条款。</w:t>
      </w:r>
    </w:p>
    <w:p>
      <w:pPr>
        <w:spacing w:line="500" w:lineRule="exact"/>
        <w:rPr>
          <w:rFonts w:ascii="仿宋" w:hAnsi="仿宋" w:eastAsia="仿宋" w:cs="仿宋"/>
          <w:sz w:val="24"/>
          <w:szCs w:val="24"/>
        </w:rPr>
      </w:pPr>
      <w:r>
        <w:rPr>
          <w:rFonts w:hint="eastAsia" w:ascii="仿宋" w:hAnsi="仿宋" w:eastAsia="仿宋" w:cs="仿宋"/>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（五）供应商对竞争性磋商文件有异议的，应在磋商文件公告（公告期为5个工作日）结束之日起七个工作日内提出，否则视同认可磋商文件所有要求。逾期提出异议的，采购人可以不予受理。</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（六）评审的依据为竞争性磋商文件和响应文件（含有效的书面承诺）。磋商小组判断响应文件对竞争性磋商文件的响应，仅基于响应文件本身而不靠外部证据。</w:t>
      </w:r>
    </w:p>
    <w:bookmarkEnd w:id="50"/>
    <w:bookmarkEnd w:id="51"/>
    <w:bookmarkEnd w:id="52"/>
    <w:bookmarkEnd w:id="53"/>
    <w:p>
      <w:pPr>
        <w:spacing w:line="400" w:lineRule="exact"/>
        <w:outlineLvl w:val="1"/>
        <w:rPr>
          <w:rFonts w:ascii="仿宋" w:hAnsi="仿宋" w:eastAsia="仿宋" w:cs="仿宋"/>
          <w:b/>
          <w:bCs/>
          <w:sz w:val="24"/>
          <w:szCs w:val="24"/>
        </w:rPr>
      </w:pPr>
      <w:bookmarkStart w:id="54" w:name="_Toc466546927"/>
      <w:bookmarkStart w:id="55" w:name="_Toc179714297"/>
      <w:bookmarkStart w:id="56" w:name="_Toc102227318"/>
      <w:bookmarkStart w:id="57" w:name="_Toc88838435"/>
      <w:bookmarkStart w:id="58" w:name="_Toc342913392"/>
      <w:r>
        <w:rPr>
          <w:rFonts w:hint="eastAsia" w:ascii="仿宋" w:hAnsi="仿宋" w:eastAsia="仿宋" w:cs="仿宋"/>
          <w:b/>
          <w:bCs/>
          <w:sz w:val="24"/>
          <w:szCs w:val="24"/>
        </w:rPr>
        <w:t>三、磋商要求</w:t>
      </w:r>
      <w:bookmarkEnd w:id="54"/>
      <w:bookmarkEnd w:id="55"/>
      <w:bookmarkEnd w:id="56"/>
      <w:bookmarkEnd w:id="57"/>
      <w:bookmarkEnd w:id="58"/>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（一）响应文件</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1、供应商应当按照竞争性磋商文件的要求编制响应文件，并对竞争性磋商文件提出的要求和条件作出实质性响应，响应文件原则上采用软面订本，同时应编制完整的页码、目录。</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2、响应文件组成</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pPr>
        <w:spacing w:line="400" w:lineRule="exact"/>
        <w:outlineLvl w:val="1"/>
        <w:rPr>
          <w:rFonts w:ascii="仿宋" w:hAnsi="仿宋" w:eastAsia="仿宋" w:cs="仿宋"/>
          <w:b/>
          <w:sz w:val="24"/>
          <w:szCs w:val="24"/>
        </w:rPr>
      </w:pPr>
      <w:bookmarkStart w:id="59" w:name="_Toc27582"/>
      <w:bookmarkStart w:id="60" w:name="_Toc88838436"/>
      <w:r>
        <w:rPr>
          <w:rFonts w:hint="eastAsia" w:ascii="仿宋" w:hAnsi="仿宋" w:eastAsia="仿宋" w:cs="仿宋"/>
          <w:b/>
          <w:sz w:val="24"/>
          <w:szCs w:val="24"/>
        </w:rPr>
        <w:t>四、响应文件</w:t>
      </w:r>
      <w:bookmarkEnd w:id="59"/>
      <w:r>
        <w:rPr>
          <w:rFonts w:hint="eastAsia" w:ascii="仿宋" w:hAnsi="仿宋" w:eastAsia="仿宋" w:cs="仿宋"/>
          <w:b/>
          <w:sz w:val="24"/>
          <w:szCs w:val="24"/>
        </w:rPr>
        <w:t>编制要求</w:t>
      </w:r>
      <w:bookmarkEnd w:id="60"/>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（一）磋商有效期：响应文件及有关承诺文件有效期为提交响应文件截止时间起90天。</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（二）磋商保证金：</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1、供应商提交保证金金额和方式详见“</w:t>
      </w:r>
      <w:r>
        <w:rPr>
          <w:rFonts w:hint="eastAsia" w:ascii="仿宋" w:hAnsi="仿宋" w:eastAsia="仿宋" w:cs="仿宋"/>
          <w:b/>
          <w:sz w:val="24"/>
          <w:szCs w:val="24"/>
        </w:rPr>
        <w:t>第一篇  五、磋商保证金”</w:t>
      </w:r>
      <w:r>
        <w:rPr>
          <w:rFonts w:hint="eastAsia" w:ascii="仿宋" w:hAnsi="仿宋" w:eastAsia="仿宋" w:cs="仿宋"/>
          <w:sz w:val="24"/>
          <w:szCs w:val="24"/>
        </w:rPr>
        <w:t>；</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2、发生以下情况之一者，磋商保证金不予退还：</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（1）供应商在提交响应文件截止时间后撤回响应文件的；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（2）供应商在响应文件中提供虚假材料的；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（3）除因不可抗力或竞争性磋商文件认可的情形以外，成交供应商不与采购人签订合同的；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（4）供应商与采购人、其他供应商恶意串通的；</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（5）成交供应商不按规定的时间或拒绝按成交状态签订合同（即不按照采购文件确定的合同文本以及采购标的、规格型号、采购金额、采购数量、技术和服务要求等事项签订政府采购合同的。）。</w:t>
      </w:r>
    </w:p>
    <w:p>
      <w:pPr>
        <w:tabs>
          <w:tab w:val="left" w:pos="0"/>
        </w:tabs>
        <w:spacing w:line="500" w:lineRule="exact"/>
        <w:ind w:firstLine="482" w:firstLineChars="200"/>
        <w:rPr>
          <w:rFonts w:ascii="仿宋" w:hAnsi="仿宋" w:eastAsia="仿宋" w:cs="仿宋"/>
          <w:b/>
          <w:sz w:val="24"/>
          <w:szCs w:val="24"/>
        </w:rPr>
      </w:pPr>
      <w:r>
        <w:rPr>
          <w:rFonts w:hint="eastAsia" w:ascii="仿宋" w:hAnsi="仿宋" w:eastAsia="仿宋" w:cs="仿宋"/>
          <w:b/>
          <w:sz w:val="24"/>
          <w:szCs w:val="24"/>
        </w:rPr>
        <w:t>（三）竞争性磋商响应文件的组成和签署</w:t>
      </w:r>
    </w:p>
    <w:p>
      <w:pPr>
        <w:tabs>
          <w:tab w:val="left" w:pos="0"/>
        </w:tabs>
        <w:spacing w:line="460" w:lineRule="exact"/>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pPr>
        <w:spacing w:line="500" w:lineRule="exact"/>
        <w:ind w:firstLine="480" w:firstLineChars="200"/>
        <w:rPr>
          <w:rFonts w:ascii="仿宋" w:hAnsi="仿宋" w:eastAsia="仿宋" w:cs="仿宋"/>
          <w:sz w:val="24"/>
        </w:rPr>
      </w:pPr>
      <w:r>
        <w:rPr>
          <w:rFonts w:hint="eastAsia" w:ascii="仿宋" w:hAnsi="仿宋" w:eastAsia="仿宋" w:cs="仿宋"/>
          <w:sz w:val="24"/>
        </w:rPr>
        <w:t>2</w:t>
      </w:r>
      <w:r>
        <w:rPr>
          <w:rFonts w:ascii="仿宋" w:hAnsi="仿宋" w:eastAsia="仿宋" w:cs="仿宋"/>
          <w:sz w:val="24"/>
        </w:rPr>
        <w:t>.</w:t>
      </w:r>
      <w:r>
        <w:rPr>
          <w:rFonts w:hint="eastAsia" w:ascii="仿宋" w:hAnsi="仿宋" w:eastAsia="仿宋" w:cs="仿宋"/>
          <w:sz w:val="24"/>
        </w:rPr>
        <w:t>在响应文件正本中，竞争性文件第七篇响应文件格式中规定签字、盖章的地方必须按其规定签字、盖章。</w:t>
      </w:r>
    </w:p>
    <w:p>
      <w:pPr>
        <w:spacing w:line="500" w:lineRule="exact"/>
        <w:ind w:firstLine="480" w:firstLineChars="200"/>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响应文件的密封与标记</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响应文件的正本、副本均采用信封分别密封。信封上注明项目名称、供应商名称、“正本”、“副本”、字样。信封的应加盖供应商公章或法人授权代表签字或法定代表人签字。</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如未按上述密封和标识，采购人可以拒绝接收。</w:t>
      </w:r>
    </w:p>
    <w:p>
      <w:pPr>
        <w:snapToGrid w:val="0"/>
        <w:spacing w:line="400" w:lineRule="exact"/>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若供应商对竞争性磋商响应文件的错误之处作必要修改，则应在修改处加盖供应商公章或者由法人或法人授权代表签字确认。</w:t>
      </w:r>
    </w:p>
    <w:p>
      <w:pPr>
        <w:snapToGrid w:val="0"/>
        <w:spacing w:line="400" w:lineRule="exact"/>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电报、电话、传真、邮寄、电子邮件等形式的竞争性磋商文件概不接受。</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（四）修正错误</w:t>
      </w:r>
    </w:p>
    <w:p>
      <w:pPr>
        <w:pStyle w:val="9"/>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若竞争性磋商响应文件出现计算或表达上的错误，按无效处理的除外，修正错误的原则如下：</w:t>
      </w:r>
    </w:p>
    <w:p>
      <w:pPr>
        <w:pStyle w:val="9"/>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1.磋商响应文件的大写金额和小写金额不一致的，以大写金额为准；</w:t>
      </w:r>
    </w:p>
    <w:p>
      <w:pPr>
        <w:pStyle w:val="9"/>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2.总价金额与按单价汇总金额不一致的，以单价金额汇总计算结果为准；</w:t>
      </w:r>
    </w:p>
    <w:p>
      <w:pPr>
        <w:pStyle w:val="9"/>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3.单价金额小数点有明显错位的，应以总价为准，并修正单价；</w:t>
      </w:r>
    </w:p>
    <w:p>
      <w:pPr>
        <w:pStyle w:val="9"/>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4.对不同文字文本磋商响应文件的解释发生异议的，以中文文本为准。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（五）竞争性磋商响应文件的处置</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无论供应商中标与否，采购人收到的资格证明文件、商务技术文件、报价文件及设备说明文件、各种复印件均不退还。</w:t>
      </w:r>
    </w:p>
    <w:p>
      <w:pPr>
        <w:snapToGrid w:val="0"/>
        <w:spacing w:line="500" w:lineRule="exact"/>
        <w:outlineLvl w:val="1"/>
        <w:rPr>
          <w:rFonts w:ascii="仿宋" w:hAnsi="仿宋" w:eastAsia="仿宋" w:cs="仿宋"/>
          <w:b/>
          <w:sz w:val="24"/>
          <w:szCs w:val="24"/>
        </w:rPr>
      </w:pPr>
      <w:bookmarkStart w:id="61" w:name="_Toc16088"/>
      <w:bookmarkStart w:id="62" w:name="_Toc88838437"/>
      <w:r>
        <w:rPr>
          <w:rFonts w:hint="eastAsia" w:ascii="仿宋" w:hAnsi="仿宋" w:eastAsia="仿宋" w:cs="仿宋"/>
          <w:b/>
          <w:sz w:val="24"/>
          <w:szCs w:val="24"/>
        </w:rPr>
        <w:t>五、</w:t>
      </w:r>
      <w:bookmarkEnd w:id="61"/>
      <w:r>
        <w:rPr>
          <w:rFonts w:hint="eastAsia" w:ascii="仿宋" w:hAnsi="仿宋" w:eastAsia="仿宋" w:cs="仿宋"/>
          <w:b/>
          <w:sz w:val="24"/>
          <w:szCs w:val="24"/>
        </w:rPr>
        <w:t>竞争性磋商评审活动程序</w:t>
      </w:r>
      <w:bookmarkEnd w:id="62"/>
    </w:p>
    <w:p>
      <w:pPr>
        <w:spacing w:line="600" w:lineRule="exact"/>
        <w:rPr>
          <w:rFonts w:ascii="仿宋" w:hAnsi="仿宋" w:eastAsia="仿宋" w:cs="仿宋"/>
          <w:b/>
          <w:kern w:val="0"/>
          <w:sz w:val="32"/>
          <w:szCs w:val="32"/>
        </w:rPr>
      </w:pPr>
      <w:r>
        <w:rPr>
          <w:rFonts w:hint="eastAsia" w:ascii="仿宋" w:hAnsi="仿宋" w:eastAsia="仿宋" w:cs="仿宋"/>
          <w:sz w:val="24"/>
          <w:szCs w:val="24"/>
        </w:rPr>
        <w:t xml:space="preserve">  （一）磋商按竞争性磋商文件规定的时间和地点进行。供应商须有法定代表人或其授权代表参加并签到。</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xml:space="preserve">  （二）竞争性磋商评审活动由采购人主持，邀请供应商和有关监督部门代表参加，财政部门和有关监督部门可视情况派员现场监督。</w:t>
      </w:r>
    </w:p>
    <w:p>
      <w:pPr>
        <w:spacing w:line="390" w:lineRule="exact"/>
        <w:rPr>
          <w:rFonts w:ascii="仿宋" w:hAnsi="仿宋" w:eastAsia="仿宋" w:cs="仿宋"/>
          <w:sz w:val="24"/>
          <w:szCs w:val="24"/>
        </w:rPr>
      </w:pPr>
      <w:r>
        <w:rPr>
          <w:rFonts w:hint="eastAsia" w:ascii="仿宋" w:hAnsi="仿宋" w:eastAsia="仿宋" w:cs="仿宋"/>
          <w:sz w:val="24"/>
          <w:szCs w:val="24"/>
        </w:rPr>
        <w:t xml:space="preserve">  （三）竞争性磋商以抽签的形式确定磋商顺序，由竞争性磋商小组分别与各供应商进行磋商。</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xml:space="preserve">  （四）竞争性磋商评审活动过程应由采购人指定专人负责记录，并存档备查。</w:t>
      </w:r>
    </w:p>
    <w:p>
      <w:pPr>
        <w:spacing w:line="500" w:lineRule="exact"/>
        <w:outlineLvl w:val="1"/>
        <w:rPr>
          <w:rFonts w:ascii="仿宋" w:hAnsi="仿宋" w:eastAsia="仿宋" w:cs="仿宋"/>
          <w:b/>
          <w:sz w:val="24"/>
          <w:szCs w:val="24"/>
        </w:rPr>
      </w:pPr>
      <w:bookmarkStart w:id="63" w:name="_Toc22543"/>
      <w:bookmarkStart w:id="64" w:name="_Toc88838438"/>
      <w:r>
        <w:rPr>
          <w:rFonts w:hint="eastAsia" w:ascii="仿宋" w:hAnsi="仿宋" w:eastAsia="仿宋" w:cs="仿宋"/>
          <w:b/>
          <w:sz w:val="24"/>
          <w:szCs w:val="24"/>
        </w:rPr>
        <w:t>六、评审</w:t>
      </w:r>
      <w:bookmarkEnd w:id="63"/>
      <w:bookmarkEnd w:id="64"/>
    </w:p>
    <w:p>
      <w:pPr>
        <w:snapToGrid w:val="0"/>
        <w:spacing w:line="500" w:lineRule="exact"/>
        <w:rPr>
          <w:rFonts w:ascii="仿宋" w:hAnsi="仿宋" w:eastAsia="仿宋" w:cs="仿宋"/>
          <w:sz w:val="24"/>
          <w:szCs w:val="24"/>
        </w:rPr>
      </w:pPr>
      <w:r>
        <w:rPr>
          <w:rFonts w:hint="eastAsia" w:ascii="仿宋" w:hAnsi="仿宋" w:eastAsia="仿宋" w:cs="仿宋"/>
          <w:sz w:val="24"/>
          <w:szCs w:val="24"/>
        </w:rPr>
        <w:t>（一）评审程序见第五篇“评审程序”内容。</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（二）评审报告主要内容：</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（1）邀请供应商参加采购活动的具体方式和相关情况；</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（2）响应文件开启日期和地点；</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（3）获取磋商文件的供应商名单和磋商小组成员名单；</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（4）评审情况记录和说明，包括对供应商的资格审查情况、供应商响应文件评审情况、磋商情况、报价情况等；</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　　（5）提出的成交候选供应商的排序名单及理由。</w:t>
      </w:r>
    </w:p>
    <w:p>
      <w:pPr>
        <w:snapToGrid w:val="0"/>
        <w:spacing w:line="500" w:lineRule="exact"/>
        <w:outlineLvl w:val="1"/>
        <w:rPr>
          <w:rFonts w:ascii="仿宋" w:hAnsi="仿宋" w:eastAsia="仿宋" w:cs="仿宋"/>
          <w:b/>
          <w:sz w:val="24"/>
          <w:szCs w:val="24"/>
        </w:rPr>
      </w:pPr>
      <w:bookmarkStart w:id="65" w:name="_Toc20490"/>
      <w:bookmarkStart w:id="66" w:name="_Toc88838439"/>
      <w:r>
        <w:rPr>
          <w:rFonts w:hint="eastAsia" w:ascii="仿宋" w:hAnsi="仿宋" w:eastAsia="仿宋" w:cs="仿宋"/>
          <w:b/>
          <w:sz w:val="24"/>
          <w:szCs w:val="24"/>
        </w:rPr>
        <w:t>七、</w:t>
      </w:r>
      <w:bookmarkEnd w:id="65"/>
      <w:r>
        <w:rPr>
          <w:rFonts w:hint="eastAsia" w:ascii="仿宋" w:hAnsi="仿宋" w:eastAsia="仿宋" w:cs="仿宋"/>
          <w:b/>
          <w:sz w:val="24"/>
          <w:szCs w:val="24"/>
        </w:rPr>
        <w:t>确定成交供应商</w:t>
      </w:r>
      <w:bookmarkEnd w:id="66"/>
    </w:p>
    <w:p>
      <w:pPr>
        <w:snapToGrid w:val="0"/>
        <w:spacing w:line="500" w:lineRule="exact"/>
        <w:rPr>
          <w:rFonts w:ascii="仿宋" w:hAnsi="仿宋" w:eastAsia="仿宋" w:cs="仿宋"/>
          <w:sz w:val="24"/>
          <w:szCs w:val="24"/>
        </w:rPr>
      </w:pPr>
      <w:r>
        <w:rPr>
          <w:rFonts w:hint="eastAsia" w:ascii="仿宋" w:hAnsi="仿宋" w:eastAsia="仿宋" w:cs="仿宋"/>
          <w:sz w:val="24"/>
          <w:szCs w:val="24"/>
        </w:rPr>
        <w:t>（一）确定成交供应商原则</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采购人或其授权的评标委员会应按照评标报告中推荐的中标候选人排名顺序确定成交供应商。</w:t>
      </w:r>
    </w:p>
    <w:p>
      <w:pPr>
        <w:snapToGrid w:val="0"/>
        <w:spacing w:line="500" w:lineRule="exact"/>
        <w:rPr>
          <w:rFonts w:ascii="仿宋" w:hAnsi="仿宋" w:eastAsia="仿宋" w:cs="仿宋"/>
          <w:sz w:val="24"/>
          <w:szCs w:val="24"/>
        </w:rPr>
      </w:pPr>
      <w:r>
        <w:rPr>
          <w:rFonts w:hint="eastAsia" w:ascii="仿宋" w:hAnsi="仿宋" w:eastAsia="仿宋" w:cs="仿宋"/>
          <w:sz w:val="24"/>
          <w:szCs w:val="24"/>
        </w:rPr>
        <w:t>（二）确定成交供应商程序</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1. 采购代理机构应当在评标结束后2个工作日内将评标报告送采购人。</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2.采购人应当自收到评标报告之日起5个工作日内按评标报告推荐的中标候选人顺序确定成交供应商。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中标候选人并列的，由采购人或者采购人委托评标委员会按照技术需求的优劣顺序排列；技术需求优劣顺序相同的，按商务条款的优劣顺序排列确定成交供应商。</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3.采购人或者采购代理机构应当自成交供应商确定之日起2个工作日内，在重庆市政府采购网上公告中标结果。中标公告期限为1个工作日。</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4.成交供应商变更</w:t>
      </w:r>
    </w:p>
    <w:p>
      <w:pPr>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拒绝与采购人签订合同的，采购人可以按照评标报告推荐的中标候选人顺序，确定排名下一位的候选人为成交供应商，也可以重新开展政府采购活动。</w:t>
      </w:r>
    </w:p>
    <w:p>
      <w:pPr>
        <w:spacing w:line="500" w:lineRule="exact"/>
        <w:outlineLvl w:val="1"/>
        <w:rPr>
          <w:rFonts w:ascii="仿宋" w:hAnsi="仿宋" w:eastAsia="仿宋" w:cs="仿宋"/>
          <w:b/>
          <w:sz w:val="24"/>
          <w:szCs w:val="24"/>
        </w:rPr>
      </w:pPr>
      <w:bookmarkStart w:id="67" w:name="_Toc27559"/>
      <w:bookmarkStart w:id="68" w:name="_Toc88838440"/>
      <w:r>
        <w:rPr>
          <w:rFonts w:hint="eastAsia" w:ascii="仿宋" w:hAnsi="仿宋" w:eastAsia="仿宋" w:cs="仿宋"/>
          <w:b/>
          <w:sz w:val="24"/>
          <w:szCs w:val="24"/>
        </w:rPr>
        <w:t>八、成交通知书</w:t>
      </w:r>
      <w:bookmarkEnd w:id="67"/>
      <w:bookmarkEnd w:id="68"/>
    </w:p>
    <w:p>
      <w:pPr>
        <w:spacing w:line="500" w:lineRule="exact"/>
        <w:ind w:firstLine="480"/>
        <w:rPr>
          <w:rFonts w:ascii="仿宋" w:hAnsi="仿宋" w:eastAsia="仿宋" w:cs="仿宋"/>
          <w:sz w:val="24"/>
          <w:szCs w:val="24"/>
        </w:rPr>
      </w:pPr>
      <w:r>
        <w:rPr>
          <w:rFonts w:hint="eastAsia" w:ascii="仿宋" w:hAnsi="仿宋" w:eastAsia="仿宋" w:cs="仿宋"/>
          <w:sz w:val="24"/>
          <w:szCs w:val="24"/>
        </w:rPr>
        <w:t>（一）依法确定成交供应商后，采购方以书面形式发出成交通知书。</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（二）成交通知书发出后，采购人改变成交供应商，或者成交供应商放弃的，应当承担相应的法律责任。</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（三）《成交通知书》将作为签订合同的依据。</w:t>
      </w:r>
    </w:p>
    <w:p>
      <w:pPr>
        <w:spacing w:line="500" w:lineRule="exact"/>
        <w:ind w:firstLine="480"/>
        <w:rPr>
          <w:rFonts w:ascii="仿宋" w:hAnsi="仿宋" w:eastAsia="仿宋" w:cs="仿宋"/>
          <w:sz w:val="24"/>
          <w:szCs w:val="24"/>
        </w:rPr>
      </w:pPr>
      <w:r>
        <w:rPr>
          <w:rFonts w:hint="eastAsia" w:ascii="仿宋" w:hAnsi="仿宋" w:eastAsia="仿宋" w:cs="仿宋"/>
          <w:sz w:val="24"/>
          <w:szCs w:val="24"/>
        </w:rPr>
        <w:t>（四）如有供应商对成交结果提出质疑的，在质疑处理完毕后发出成交通知书。</w:t>
      </w:r>
      <w:bookmarkStart w:id="69" w:name="_Toc25303"/>
    </w:p>
    <w:p>
      <w:pPr>
        <w:spacing w:line="500" w:lineRule="exact"/>
        <w:outlineLvl w:val="1"/>
        <w:rPr>
          <w:rFonts w:ascii="仿宋" w:hAnsi="仿宋" w:eastAsia="仿宋" w:cs="仿宋"/>
          <w:b/>
          <w:sz w:val="24"/>
          <w:szCs w:val="24"/>
        </w:rPr>
      </w:pPr>
      <w:bookmarkStart w:id="70" w:name="_Toc88838441"/>
      <w:r>
        <w:rPr>
          <w:rFonts w:hint="eastAsia" w:ascii="仿宋" w:hAnsi="仿宋" w:eastAsia="仿宋" w:cs="仿宋"/>
          <w:b/>
          <w:sz w:val="24"/>
          <w:szCs w:val="24"/>
        </w:rPr>
        <w:t>九、供应商对评审结果的质疑、投诉</w:t>
      </w:r>
      <w:bookmarkEnd w:id="69"/>
      <w:bookmarkEnd w:id="70"/>
    </w:p>
    <w:p>
      <w:pPr>
        <w:spacing w:line="500" w:lineRule="exact"/>
        <w:ind w:firstLine="482"/>
        <w:rPr>
          <w:rFonts w:ascii="仿宋" w:hAnsi="仿宋" w:eastAsia="仿宋" w:cs="仿宋"/>
          <w:sz w:val="24"/>
          <w:szCs w:val="24"/>
        </w:rPr>
      </w:pPr>
      <w:bookmarkStart w:id="71" w:name="_Toc11174"/>
      <w:r>
        <w:rPr>
          <w:rFonts w:hint="eastAsia" w:ascii="仿宋" w:hAnsi="仿宋" w:eastAsia="仿宋" w:cs="仿宋"/>
          <w:sz w:val="24"/>
          <w:szCs w:val="24"/>
        </w:rPr>
        <w:t>（一）质疑内容、时限</w:t>
      </w:r>
      <w:bookmarkEnd w:id="71"/>
    </w:p>
    <w:p>
      <w:pPr>
        <w:spacing w:line="500" w:lineRule="exact"/>
        <w:ind w:firstLine="482"/>
        <w:rPr>
          <w:rFonts w:ascii="仿宋" w:hAnsi="仿宋" w:eastAsia="仿宋" w:cs="仿宋"/>
          <w:sz w:val="24"/>
          <w:szCs w:val="24"/>
        </w:rPr>
      </w:pPr>
      <w:r>
        <w:rPr>
          <w:rFonts w:hint="eastAsia" w:ascii="仿宋" w:hAnsi="仿宋" w:eastAsia="仿宋" w:cs="仿宋"/>
          <w:sz w:val="24"/>
          <w:szCs w:val="24"/>
        </w:rPr>
        <w:t xml:space="preserve">1、供应商对磋商文件提出质疑，应在磋商文件公告（公告期为5个工作日）结束之日起七个工作日内以书面形式向采购人、采购机构提出质疑，并附相关证明材料。 </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2、供应商对成交结果有异议的，应当在成交公示发布之日起七个工作日内以书面形式向采购人、采购机构提出质疑，并附相关证明材料。</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3、供应商对采购文件中供应商特定资格条件、技术质量和商务要求、评审标准及评审细则有异议的，应主要向采购人提出质疑，其他问题可向交易中心提出质疑。</w:t>
      </w:r>
    </w:p>
    <w:p>
      <w:pPr>
        <w:spacing w:line="500" w:lineRule="exact"/>
        <w:ind w:firstLine="482"/>
        <w:rPr>
          <w:rFonts w:ascii="仿宋" w:hAnsi="仿宋" w:eastAsia="仿宋" w:cs="仿宋"/>
          <w:sz w:val="24"/>
          <w:szCs w:val="24"/>
        </w:rPr>
      </w:pPr>
      <w:bookmarkStart w:id="72" w:name="_Toc16117"/>
      <w:r>
        <w:rPr>
          <w:rFonts w:hint="eastAsia" w:ascii="仿宋" w:hAnsi="仿宋" w:eastAsia="仿宋" w:cs="仿宋"/>
          <w:sz w:val="24"/>
          <w:szCs w:val="24"/>
        </w:rPr>
        <w:t>（二）质疑答复时限</w:t>
      </w:r>
      <w:bookmarkEnd w:id="72"/>
    </w:p>
    <w:p>
      <w:pPr>
        <w:spacing w:line="500" w:lineRule="exact"/>
        <w:ind w:firstLine="482"/>
        <w:rPr>
          <w:rFonts w:ascii="仿宋" w:hAnsi="仿宋" w:eastAsia="仿宋" w:cs="仿宋"/>
          <w:sz w:val="24"/>
          <w:szCs w:val="24"/>
        </w:rPr>
      </w:pPr>
      <w:r>
        <w:rPr>
          <w:rFonts w:hint="eastAsia" w:ascii="仿宋" w:hAnsi="仿宋" w:eastAsia="仿宋" w:cs="仿宋"/>
          <w:sz w:val="24"/>
          <w:szCs w:val="24"/>
        </w:rPr>
        <w:t>采购人、采购机构在收到供应商书面质疑后七个工作日内，对质疑内容作出答复。</w:t>
      </w:r>
    </w:p>
    <w:p>
      <w:pPr>
        <w:spacing w:line="500" w:lineRule="exact"/>
        <w:ind w:firstLine="482"/>
        <w:rPr>
          <w:rFonts w:ascii="仿宋" w:hAnsi="仿宋" w:eastAsia="仿宋" w:cs="仿宋"/>
          <w:sz w:val="24"/>
          <w:szCs w:val="24"/>
        </w:rPr>
      </w:pPr>
      <w:bookmarkStart w:id="73" w:name="_Toc23379"/>
      <w:r>
        <w:rPr>
          <w:rFonts w:hint="eastAsia" w:ascii="仿宋" w:hAnsi="仿宋" w:eastAsia="仿宋" w:cs="仿宋"/>
          <w:sz w:val="24"/>
          <w:szCs w:val="24"/>
        </w:rPr>
        <w:t>（三）不予受理或暂缓受理</w:t>
      </w:r>
      <w:bookmarkEnd w:id="73"/>
    </w:p>
    <w:p>
      <w:pPr>
        <w:spacing w:line="500" w:lineRule="exact"/>
        <w:ind w:firstLine="482"/>
        <w:rPr>
          <w:rFonts w:ascii="仿宋" w:hAnsi="仿宋" w:eastAsia="仿宋" w:cs="仿宋"/>
          <w:sz w:val="24"/>
          <w:szCs w:val="24"/>
        </w:rPr>
      </w:pPr>
      <w:r>
        <w:rPr>
          <w:rFonts w:hint="eastAsia" w:ascii="仿宋" w:hAnsi="仿宋" w:eastAsia="仿宋" w:cs="仿宋"/>
          <w:sz w:val="24"/>
          <w:szCs w:val="24"/>
        </w:rPr>
        <w:t>1、质疑有下列情形之一的，不予受理：</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（1）质疑供应商参与了投标活动后，再对招标文件内容提出质疑的；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（2）质疑超过有效期的；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（3）对同一事项重复质疑的。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2、质疑有下列情形之一的，应暂不受理并告知响应人补充材料。响应人及时补充材料的，应予受理；逾期未补充的，不予受理：</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（1）质疑书格式和内容不符合国家或重庆市相关规定的；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（2）质疑书提供的依据或证明材料不全的；</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（3）质疑书副本数量不足的。</w:t>
      </w:r>
    </w:p>
    <w:p>
      <w:pPr>
        <w:spacing w:line="500" w:lineRule="exact"/>
        <w:ind w:firstLine="482"/>
        <w:rPr>
          <w:rFonts w:ascii="仿宋" w:hAnsi="仿宋" w:eastAsia="仿宋" w:cs="仿宋"/>
          <w:sz w:val="24"/>
          <w:szCs w:val="24"/>
        </w:rPr>
      </w:pPr>
      <w:bookmarkStart w:id="74" w:name="_Toc29190"/>
      <w:r>
        <w:rPr>
          <w:rFonts w:hint="eastAsia" w:ascii="仿宋" w:hAnsi="仿宋" w:eastAsia="仿宋" w:cs="仿宋"/>
          <w:sz w:val="24"/>
          <w:szCs w:val="24"/>
        </w:rPr>
        <w:t>（四）投诉</w:t>
      </w:r>
      <w:bookmarkEnd w:id="74"/>
    </w:p>
    <w:p>
      <w:pPr>
        <w:spacing w:line="500" w:lineRule="exact"/>
        <w:ind w:firstLine="482"/>
        <w:rPr>
          <w:rFonts w:ascii="仿宋" w:hAnsi="仿宋" w:eastAsia="仿宋" w:cs="仿宋"/>
          <w:sz w:val="24"/>
          <w:szCs w:val="24"/>
        </w:rPr>
      </w:pPr>
      <w:r>
        <w:rPr>
          <w:rFonts w:hint="eastAsia" w:ascii="仿宋" w:hAnsi="仿宋" w:eastAsia="仿宋" w:cs="仿宋"/>
          <w:sz w:val="24"/>
          <w:szCs w:val="24"/>
        </w:rPr>
        <w:t>1、响应人对采购机构的答复不满意或者采购机构未在规定时间内答复的，可在答复期满后十五个工作日内按有关规定，向同级区财政投诉。</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2、在提出投诉时，应附送相关证明材料。投诉书及证明材料为外文的，应同时提供其中文译本；中文与外文意思不一致的，以中文为准。</w:t>
      </w:r>
    </w:p>
    <w:p>
      <w:pPr>
        <w:spacing w:line="500" w:lineRule="exact"/>
        <w:ind w:firstLine="482"/>
        <w:rPr>
          <w:rFonts w:ascii="仿宋" w:hAnsi="仿宋" w:eastAsia="仿宋" w:cs="仿宋"/>
          <w:sz w:val="24"/>
          <w:szCs w:val="24"/>
        </w:rPr>
      </w:pPr>
      <w:r>
        <w:rPr>
          <w:rFonts w:hint="eastAsia" w:ascii="仿宋" w:hAnsi="仿宋" w:eastAsia="仿宋" w:cs="仿宋"/>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pPr>
        <w:snapToGrid w:val="0"/>
        <w:spacing w:line="480" w:lineRule="exact"/>
        <w:outlineLvl w:val="1"/>
        <w:rPr>
          <w:rFonts w:ascii="仿宋" w:hAnsi="仿宋" w:eastAsia="仿宋" w:cs="仿宋"/>
          <w:b/>
          <w:sz w:val="24"/>
          <w:szCs w:val="24"/>
        </w:rPr>
      </w:pPr>
      <w:bookmarkStart w:id="75" w:name="_Toc88838442"/>
      <w:bookmarkStart w:id="76" w:name="_Toc24862"/>
      <w:r>
        <w:rPr>
          <w:rFonts w:hint="eastAsia" w:ascii="仿宋" w:hAnsi="仿宋" w:eastAsia="仿宋" w:cs="仿宋"/>
          <w:b/>
          <w:sz w:val="24"/>
          <w:szCs w:val="24"/>
        </w:rPr>
        <w:t>十、签订合同</w:t>
      </w:r>
      <w:bookmarkEnd w:id="75"/>
      <w:bookmarkEnd w:id="76"/>
    </w:p>
    <w:p>
      <w:pPr>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一）采购人应当自成交通知书发出之日起30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pPr>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（二）竞争性磋商文件、供应商的磋商响应文件及澄清文件等，均为签订政府采购合同的依据。</w:t>
      </w:r>
    </w:p>
    <w:p>
      <w:pPr>
        <w:snapToGrid w:val="0"/>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（三）合同生效条款由供需双方约定，法律、行政法规规定应当办理批准、登记等手续后生效的合同，依照其规定。</w:t>
      </w:r>
    </w:p>
    <w:p>
      <w:pPr>
        <w:snapToGrid w:val="0"/>
        <w:spacing w:line="380" w:lineRule="exact"/>
        <w:ind w:firstLine="480" w:firstLineChars="200"/>
        <w:rPr>
          <w:rFonts w:ascii="仿宋" w:hAnsi="仿宋" w:eastAsia="仿宋" w:cs="仿宋"/>
          <w:sz w:val="24"/>
          <w:szCs w:val="24"/>
        </w:rPr>
      </w:pPr>
    </w:p>
    <w:p>
      <w:pPr>
        <w:numPr>
          <w:ilvl w:val="0"/>
          <w:numId w:val="1"/>
        </w:numPr>
        <w:spacing w:line="360" w:lineRule="auto"/>
        <w:jc w:val="center"/>
        <w:outlineLvl w:val="0"/>
        <w:rPr>
          <w:rFonts w:ascii="仿宋" w:hAnsi="仿宋" w:eastAsia="仿宋" w:cs="仿宋"/>
          <w:b/>
          <w:bCs/>
          <w:sz w:val="36"/>
          <w:szCs w:val="30"/>
        </w:rPr>
      </w:pPr>
      <w:r>
        <w:rPr>
          <w:rFonts w:hint="eastAsia" w:ascii="仿宋" w:hAnsi="仿宋" w:eastAsia="仿宋" w:cs="仿宋"/>
          <w:sz w:val="24"/>
          <w:szCs w:val="24"/>
        </w:rPr>
        <w:br w:type="page"/>
      </w:r>
      <w:bookmarkStart w:id="77" w:name="_Toc88838443"/>
      <w:r>
        <w:rPr>
          <w:rFonts w:hint="eastAsia" w:ascii="仿宋" w:hAnsi="仿宋" w:eastAsia="仿宋" w:cs="仿宋"/>
          <w:b/>
          <w:bCs/>
          <w:sz w:val="36"/>
          <w:szCs w:val="30"/>
        </w:rPr>
        <w:t>采购服务需求</w:t>
      </w:r>
      <w:bookmarkEnd w:id="77"/>
    </w:p>
    <w:p>
      <w:pPr>
        <w:ind w:firstLine="480" w:firstLineChars="200"/>
        <w:rPr>
          <w:rFonts w:ascii="仿宋" w:hAnsi="仿宋" w:eastAsia="仿宋" w:cs="仿宋"/>
          <w:sz w:val="24"/>
          <w:szCs w:val="24"/>
        </w:rPr>
      </w:pPr>
      <w:r>
        <w:rPr>
          <w:rFonts w:hint="eastAsia" w:ascii="仿宋" w:hAnsi="仿宋" w:eastAsia="仿宋" w:cs="仿宋"/>
          <w:sz w:val="24"/>
          <w:szCs w:val="24"/>
        </w:rPr>
        <w:t>一、本项目预算价</w:t>
      </w:r>
      <w:r>
        <w:rPr>
          <w:rFonts w:ascii="仿宋" w:hAnsi="仿宋" w:eastAsia="仿宋" w:cs="仿宋"/>
          <w:sz w:val="24"/>
          <w:szCs w:val="24"/>
        </w:rPr>
        <w:t xml:space="preserve">7.7万元，磋商报价超过预算价的做无效响应文件处理。 </w:t>
      </w:r>
    </w:p>
    <w:p>
      <w:pPr>
        <w:ind w:firstLine="480" w:firstLineChars="200"/>
        <w:rPr>
          <w:rFonts w:ascii="仿宋" w:hAnsi="仿宋" w:eastAsia="仿宋" w:cs="仿宋"/>
          <w:sz w:val="24"/>
          <w:szCs w:val="24"/>
        </w:rPr>
      </w:pPr>
      <w:r>
        <w:rPr>
          <w:rFonts w:ascii="仿宋" w:hAnsi="仿宋" w:eastAsia="仿宋" w:cs="仿宋"/>
          <w:sz w:val="24"/>
          <w:szCs w:val="24"/>
        </w:rPr>
        <w:t>1.重庆化工职业学院校方责任险，保险责任时限为1年</w:t>
      </w:r>
      <w:r>
        <w:rPr>
          <w:rFonts w:hint="eastAsia" w:ascii="仿宋" w:hAnsi="仿宋" w:eastAsia="仿宋" w:cs="仿宋"/>
          <w:sz w:val="24"/>
          <w:szCs w:val="24"/>
        </w:rPr>
        <w:t>。</w:t>
      </w:r>
    </w:p>
    <w:p>
      <w:pPr>
        <w:ind w:firstLine="480" w:firstLineChars="200"/>
        <w:rPr>
          <w:rFonts w:ascii="仿宋" w:hAnsi="仿宋" w:eastAsia="仿宋" w:cs="仿宋"/>
          <w:sz w:val="24"/>
          <w:szCs w:val="24"/>
        </w:rPr>
      </w:pPr>
      <w:r>
        <w:rPr>
          <w:rFonts w:ascii="仿宋" w:hAnsi="仿宋" w:eastAsia="仿宋" w:cs="仿宋"/>
          <w:sz w:val="24"/>
          <w:szCs w:val="24"/>
        </w:rPr>
        <w:t xml:space="preserve">2.被保险人的学生范围为： </w:t>
      </w:r>
    </w:p>
    <w:p>
      <w:pPr>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 xml:space="preserve">1）重庆化工职业学院在籍学生。 </w:t>
      </w:r>
    </w:p>
    <w:p>
      <w:pPr>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 xml:space="preserve">2）2021年预计学生人数1.2万余人 </w:t>
      </w:r>
      <w:r>
        <w:rPr>
          <w:rFonts w:hint="eastAsia" w:ascii="仿宋" w:hAnsi="仿宋" w:eastAsia="仿宋" w:cs="仿宋"/>
          <w:sz w:val="24"/>
          <w:szCs w:val="24"/>
        </w:rPr>
        <w:t>（具体人数以每年学校上报清单为准）。</w:t>
      </w:r>
    </w:p>
    <w:p>
      <w:pPr>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具体内容</w:t>
      </w:r>
    </w:p>
    <w:p>
      <w:pPr>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（1）校方责任保险金额：每生每年</w:t>
      </w:r>
      <w:r>
        <w:rPr>
          <w:rFonts w:ascii="仿宋" w:hAnsi="仿宋" w:eastAsia="仿宋" w:cs="仿宋"/>
          <w:sz w:val="24"/>
          <w:szCs w:val="24"/>
        </w:rPr>
        <w:t>5</w:t>
      </w:r>
      <w:r>
        <w:rPr>
          <w:rFonts w:hint="eastAsia" w:ascii="仿宋" w:hAnsi="仿宋" w:eastAsia="仿宋" w:cs="仿宋"/>
          <w:sz w:val="24"/>
          <w:szCs w:val="24"/>
          <w:lang w:val="zh-CN"/>
        </w:rPr>
        <w:t>00000元；</w:t>
      </w:r>
    </w:p>
    <w:p>
      <w:pPr>
        <w:ind w:firstLine="480" w:firstLineChars="200"/>
        <w:rPr>
          <w:rFonts w:ascii="仿宋" w:hAnsi="仿宋" w:eastAsia="仿宋" w:cs="仿宋"/>
          <w:sz w:val="24"/>
          <w:szCs w:val="24"/>
          <w:lang w:val="zh-CN"/>
        </w:rPr>
      </w:pPr>
      <w:r>
        <w:rPr>
          <w:rFonts w:hint="eastAsia" w:ascii="仿宋" w:hAnsi="仿宋" w:eastAsia="仿宋" w:cs="仿宋"/>
          <w:sz w:val="24"/>
          <w:szCs w:val="24"/>
          <w:lang w:val="zh-CN"/>
        </w:rPr>
        <w:t>（2）意外伤害和校方无责任情况下每位学生每年补偿金额：校园内意外伤害死亡、伤残一级补偿150000元（其余伤残等级的补偿金额按残疾等级比例进行）；校园外意外伤害死亡、伤残一级补偿5000元（其余伤残等级的补偿金额按残疾等级比例进行）；疾病身故补偿5000元。以上三种补偿情形不可以兼得。</w:t>
      </w:r>
    </w:p>
    <w:p>
      <w:pPr>
        <w:ind w:firstLine="480" w:firstLineChars="200"/>
        <w:rPr>
          <w:rFonts w:ascii="仿宋" w:hAnsi="仿宋" w:eastAsia="仿宋" w:cs="仿宋"/>
          <w:sz w:val="24"/>
          <w:szCs w:val="24"/>
        </w:rPr>
      </w:pPr>
      <w:r>
        <w:rPr>
          <w:rFonts w:hint="eastAsia" w:ascii="仿宋" w:hAnsi="仿宋" w:eastAsia="仿宋" w:cs="仿宋"/>
          <w:sz w:val="24"/>
          <w:szCs w:val="24"/>
        </w:rPr>
        <w:t>注：（</w:t>
      </w:r>
      <w:r>
        <w:rPr>
          <w:rFonts w:ascii="仿宋" w:hAnsi="仿宋" w:eastAsia="仿宋" w:cs="仿宋"/>
          <w:sz w:val="24"/>
          <w:szCs w:val="24"/>
        </w:rPr>
        <w:t>1）校园内：指学校所辖地域范围；校方统一组织活动的地域或过程视为校园内。</w:t>
      </w:r>
    </w:p>
    <w:p>
      <w:pPr>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2）意外伤害：指遭受外来的、突发的、非本意的、非疾病的使身体受到伤害的客观事件；各伤残等级的赔偿标准以中国人民银行颁发的《人身保险残疾程度与保险金给付比例表》为准。</w:t>
      </w:r>
    </w:p>
    <w:p>
      <w:pPr>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3）在学校负有完全责任并致学生意外死亡或伤残一级的情形下，每位学生的保险金额最高可达500000元。</w:t>
      </w:r>
    </w:p>
    <w:p>
      <w:pPr>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4）疾病身故不分校园内外，补偿金额均为5000元。</w:t>
      </w:r>
    </w:p>
    <w:p>
      <w:pPr>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5）校方责任保险每次事故的免赔率或免赔额，按有关保险条款规定执行。</w:t>
      </w:r>
    </w:p>
    <w:p>
      <w:pPr>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6</w:t>
      </w:r>
      <w:r>
        <w:rPr>
          <w:rFonts w:hint="eastAsia" w:ascii="仿宋" w:hAnsi="仿宋" w:eastAsia="仿宋" w:cs="仿宋"/>
          <w:sz w:val="24"/>
          <w:szCs w:val="24"/>
        </w:rPr>
        <w:t>）学生校外实习期间，按以下情况进行赔付界定：</w:t>
      </w:r>
    </w:p>
    <w:p>
      <w:pPr>
        <w:ind w:firstLine="480" w:firstLineChars="200"/>
        <w:rPr>
          <w:rFonts w:ascii="仿宋" w:hAnsi="仿宋" w:eastAsia="仿宋" w:cs="仿宋"/>
          <w:sz w:val="24"/>
          <w:szCs w:val="24"/>
        </w:rPr>
      </w:pPr>
      <w:r>
        <w:rPr>
          <w:rFonts w:hint="eastAsia" w:ascii="仿宋" w:hAnsi="仿宋" w:eastAsia="仿宋" w:cs="仿宋"/>
          <w:sz w:val="24"/>
          <w:szCs w:val="24"/>
        </w:rPr>
        <w:t>①学校与实习单位签订实习协议，并安排学生集中实习的；</w:t>
      </w:r>
    </w:p>
    <w:p>
      <w:pPr>
        <w:ind w:firstLine="480" w:firstLineChars="200"/>
        <w:rPr>
          <w:rFonts w:ascii="仿宋" w:hAnsi="仿宋" w:eastAsia="仿宋" w:cs="仿宋"/>
          <w:sz w:val="24"/>
          <w:szCs w:val="24"/>
        </w:rPr>
      </w:pPr>
      <w:r>
        <w:rPr>
          <w:rFonts w:hint="eastAsia" w:ascii="仿宋" w:hAnsi="仿宋" w:eastAsia="仿宋" w:cs="仿宋"/>
          <w:sz w:val="24"/>
          <w:szCs w:val="24"/>
        </w:rPr>
        <w:t>②实习期间，有学校老师参与陪同管理的。</w:t>
      </w:r>
    </w:p>
    <w:p>
      <w:pPr>
        <w:ind w:firstLine="480" w:firstLineChars="200"/>
        <w:rPr>
          <w:rFonts w:ascii="仿宋" w:hAnsi="仿宋" w:eastAsia="仿宋" w:cs="仿宋"/>
          <w:sz w:val="24"/>
          <w:szCs w:val="24"/>
        </w:rPr>
      </w:pPr>
      <w:r>
        <w:rPr>
          <w:rFonts w:hint="eastAsia" w:ascii="仿宋" w:hAnsi="仿宋" w:eastAsia="仿宋" w:cs="仿宋"/>
          <w:sz w:val="24"/>
          <w:szCs w:val="24"/>
        </w:rPr>
        <w:t>同时符合上述两种情况的，在实习单位发生意外事故，可视同校园内发生意外伤害事故，按校内责任进行有责赔付、无责补偿。</w:t>
      </w:r>
    </w:p>
    <w:p>
      <w:pPr>
        <w:ind w:firstLine="480" w:firstLineChars="200"/>
        <w:rPr>
          <w:rFonts w:ascii="方正仿宋_GBK" w:hAnsi="方正仿宋_GBK" w:eastAsia="方正仿宋_GBK" w:cs="方正仿宋_GBK"/>
          <w:sz w:val="24"/>
          <w:szCs w:val="24"/>
        </w:rPr>
      </w:pPr>
    </w:p>
    <w:p>
      <w:pPr>
        <w:keepNext/>
        <w:keepLines/>
        <w:jc w:val="center"/>
        <w:outlineLvl w:val="0"/>
        <w:rPr>
          <w:rFonts w:ascii="仿宋" w:hAnsi="仿宋" w:eastAsia="仿宋" w:cs="仿宋"/>
          <w:b/>
          <w:bCs/>
          <w:color w:val="FF0000"/>
          <w:sz w:val="36"/>
          <w:szCs w:val="30"/>
        </w:rPr>
      </w:pPr>
    </w:p>
    <w:p>
      <w:pPr>
        <w:keepNext/>
        <w:keepLines/>
        <w:jc w:val="center"/>
        <w:outlineLvl w:val="0"/>
        <w:rPr>
          <w:rFonts w:ascii="仿宋" w:hAnsi="仿宋" w:eastAsia="仿宋" w:cs="仿宋"/>
          <w:b/>
          <w:bCs/>
          <w:color w:val="FF0000"/>
          <w:sz w:val="36"/>
          <w:szCs w:val="30"/>
        </w:rPr>
      </w:pPr>
      <w:r>
        <w:rPr>
          <w:rFonts w:ascii="仿宋" w:hAnsi="仿宋" w:eastAsia="仿宋" w:cs="仿宋"/>
          <w:b/>
          <w:bCs/>
          <w:color w:val="FF0000"/>
          <w:sz w:val="36"/>
          <w:szCs w:val="30"/>
        </w:rPr>
        <w:br w:type="page"/>
      </w:r>
    </w:p>
    <w:p>
      <w:pPr>
        <w:keepNext/>
        <w:keepLines/>
        <w:jc w:val="center"/>
        <w:outlineLvl w:val="0"/>
        <w:rPr>
          <w:rFonts w:ascii="仿宋" w:hAnsi="仿宋" w:eastAsia="仿宋" w:cs="仿宋"/>
          <w:bCs/>
          <w:sz w:val="24"/>
          <w:szCs w:val="24"/>
        </w:rPr>
      </w:pPr>
      <w:bookmarkStart w:id="78" w:name="_Toc88838444"/>
      <w:r>
        <w:rPr>
          <w:rFonts w:hint="eastAsia" w:ascii="仿宋" w:hAnsi="仿宋" w:eastAsia="仿宋" w:cs="仿宋"/>
          <w:b/>
          <w:bCs/>
          <w:sz w:val="36"/>
          <w:szCs w:val="30"/>
        </w:rPr>
        <w:t>第四篇  采购商务需求</w:t>
      </w:r>
      <w:bookmarkEnd w:id="78"/>
    </w:p>
    <w:p>
      <w:pPr>
        <w:keepNext/>
        <w:keepLines/>
        <w:outlineLvl w:val="1"/>
        <w:rPr>
          <w:rFonts w:ascii="仿宋" w:hAnsi="仿宋" w:eastAsia="仿宋" w:cs="方正仿宋_GBK"/>
          <w:b/>
          <w:bCs/>
          <w:sz w:val="24"/>
          <w:szCs w:val="24"/>
        </w:rPr>
      </w:pPr>
    </w:p>
    <w:p>
      <w:pPr>
        <w:pStyle w:val="5"/>
        <w:rPr>
          <w:rFonts w:ascii="仿宋" w:hAnsi="仿宋" w:eastAsia="仿宋" w:cs="宋体"/>
          <w:sz w:val="24"/>
          <w:szCs w:val="24"/>
        </w:rPr>
      </w:pPr>
      <w:bookmarkStart w:id="79" w:name="_Toc344475120"/>
      <w:bookmarkStart w:id="80" w:name="_Toc88838445"/>
      <w:bookmarkStart w:id="81" w:name="_Toc644_WPSOffice_Level2"/>
      <w:bookmarkStart w:id="82" w:name="_Toc5917"/>
      <w:bookmarkStart w:id="83" w:name="_Toc493364779"/>
      <w:r>
        <w:rPr>
          <w:rFonts w:hint="eastAsia" w:ascii="仿宋" w:hAnsi="仿宋" w:eastAsia="仿宋" w:cs="宋体"/>
          <w:sz w:val="24"/>
          <w:szCs w:val="24"/>
        </w:rPr>
        <w:t>一、完成时间及验收方式</w:t>
      </w:r>
      <w:bookmarkEnd w:id="79"/>
      <w:bookmarkEnd w:id="80"/>
      <w:bookmarkEnd w:id="81"/>
      <w:bookmarkEnd w:id="82"/>
      <w:bookmarkEnd w:id="83"/>
    </w:p>
    <w:p>
      <w:pPr>
        <w:pStyle w:val="11"/>
        <w:spacing w:line="240" w:lineRule="auto"/>
        <w:ind w:left="0" w:leftChars="0" w:firstLine="480" w:firstLineChars="200"/>
        <w:rPr>
          <w:rFonts w:ascii="仿宋" w:hAnsi="仿宋" w:eastAsia="仿宋" w:cs="宋体"/>
          <w:sz w:val="24"/>
          <w:szCs w:val="24"/>
        </w:rPr>
      </w:pPr>
      <w:r>
        <w:rPr>
          <w:rFonts w:hint="eastAsia" w:ascii="仿宋" w:hAnsi="仿宋" w:eastAsia="仿宋" w:cs="宋体"/>
          <w:sz w:val="24"/>
          <w:szCs w:val="24"/>
        </w:rPr>
        <w:t>（一）完成时间</w:t>
      </w:r>
    </w:p>
    <w:p>
      <w:pPr>
        <w:pStyle w:val="11"/>
        <w:tabs>
          <w:tab w:val="left" w:pos="4905"/>
        </w:tabs>
        <w:spacing w:line="240" w:lineRule="auto"/>
        <w:ind w:left="0" w:leftChars="0" w:firstLine="480" w:firstLineChars="200"/>
        <w:rPr>
          <w:rFonts w:ascii="仿宋" w:hAnsi="仿宋" w:eastAsia="仿宋" w:cs="宋体"/>
          <w:sz w:val="24"/>
          <w:szCs w:val="24"/>
        </w:rPr>
      </w:pPr>
      <w:r>
        <w:rPr>
          <w:rFonts w:hint="eastAsia" w:ascii="仿宋" w:hAnsi="仿宋" w:eastAsia="仿宋" w:cs="宋体"/>
          <w:sz w:val="24"/>
          <w:szCs w:val="24"/>
        </w:rPr>
        <w:t>采购合同签订后3个工作日内完成，采购方承诺提供必要且完整的投保资料，配合供应商做好前期投保的工作。</w:t>
      </w:r>
    </w:p>
    <w:p>
      <w:pPr>
        <w:pStyle w:val="5"/>
        <w:rPr>
          <w:rFonts w:ascii="仿宋" w:hAnsi="仿宋" w:eastAsia="仿宋" w:cs="宋体"/>
          <w:bCs/>
          <w:sz w:val="24"/>
          <w:szCs w:val="24"/>
        </w:rPr>
      </w:pPr>
      <w:bookmarkStart w:id="84" w:name="_Toc14817"/>
      <w:bookmarkStart w:id="85" w:name="_Toc493364780"/>
      <w:bookmarkStart w:id="86" w:name="_Toc344475121"/>
      <w:bookmarkStart w:id="87" w:name="_Toc2842_WPSOffice_Level2"/>
      <w:bookmarkStart w:id="88" w:name="_Toc88838446"/>
      <w:r>
        <w:rPr>
          <w:rFonts w:hint="eastAsia" w:ascii="仿宋" w:hAnsi="仿宋" w:eastAsia="仿宋" w:cs="宋体"/>
          <w:bCs/>
          <w:sz w:val="24"/>
          <w:szCs w:val="24"/>
        </w:rPr>
        <w:t>二、质量保证及售后服务</w:t>
      </w:r>
      <w:bookmarkEnd w:id="84"/>
      <w:bookmarkEnd w:id="85"/>
      <w:bookmarkEnd w:id="86"/>
      <w:bookmarkEnd w:id="87"/>
      <w:bookmarkEnd w:id="88"/>
    </w:p>
    <w:p>
      <w:pPr>
        <w:ind w:firstLine="480" w:firstLineChars="200"/>
        <w:rPr>
          <w:rFonts w:ascii="仿宋" w:hAnsi="仿宋" w:eastAsia="仿宋" w:cs="宋体"/>
          <w:sz w:val="24"/>
          <w:szCs w:val="24"/>
        </w:rPr>
      </w:pPr>
      <w:bookmarkStart w:id="89" w:name="_Toc344475122"/>
      <w:bookmarkStart w:id="90" w:name="_Toc14566_WPSOffice_Level2"/>
      <w:bookmarkStart w:id="91" w:name="_Toc26000"/>
      <w:bookmarkStart w:id="92" w:name="_Toc493364781"/>
      <w:r>
        <w:rPr>
          <w:rFonts w:hint="eastAsia" w:ascii="仿宋" w:hAnsi="仿宋" w:eastAsia="仿宋" w:cs="宋体"/>
          <w:sz w:val="24"/>
          <w:szCs w:val="24"/>
        </w:rPr>
        <w:t>（一）保险服务小组配置评审：</w:t>
      </w:r>
    </w:p>
    <w:p>
      <w:pPr>
        <w:ind w:firstLine="480" w:firstLineChars="200"/>
        <w:rPr>
          <w:rFonts w:ascii="仿宋" w:hAnsi="仿宋" w:eastAsia="仿宋" w:cs="宋体"/>
          <w:sz w:val="24"/>
          <w:szCs w:val="24"/>
        </w:rPr>
      </w:pPr>
      <w:r>
        <w:rPr>
          <w:rFonts w:hint="eastAsia" w:ascii="仿宋" w:hAnsi="仿宋" w:eastAsia="仿宋" w:cs="宋体"/>
          <w:sz w:val="24"/>
          <w:szCs w:val="24"/>
        </w:rPr>
        <w:t>保险服务小组中应设有投保小组、理赔小组；</w:t>
      </w:r>
    </w:p>
    <w:p>
      <w:pPr>
        <w:ind w:firstLine="480" w:firstLineChars="200"/>
        <w:rPr>
          <w:rFonts w:ascii="仿宋" w:hAnsi="仿宋" w:eastAsia="仿宋" w:cs="宋体"/>
          <w:sz w:val="24"/>
          <w:szCs w:val="24"/>
        </w:rPr>
      </w:pPr>
      <w:r>
        <w:rPr>
          <w:rFonts w:hint="eastAsia" w:ascii="仿宋" w:hAnsi="仿宋" w:eastAsia="仿宋" w:cs="宋体"/>
          <w:sz w:val="24"/>
          <w:szCs w:val="24"/>
        </w:rPr>
        <w:t xml:space="preserve"> (二) 根据投标人提供的有效特色服务进行评审：</w:t>
      </w:r>
    </w:p>
    <w:p>
      <w:pPr>
        <w:ind w:firstLine="480" w:firstLineChars="200"/>
        <w:rPr>
          <w:rFonts w:ascii="仿宋" w:hAnsi="仿宋" w:eastAsia="仿宋" w:cs="宋体"/>
          <w:sz w:val="24"/>
          <w:szCs w:val="24"/>
        </w:rPr>
      </w:pPr>
      <w:r>
        <w:rPr>
          <w:rFonts w:hint="eastAsia" w:ascii="仿宋" w:hAnsi="仿宋" w:eastAsia="仿宋" w:cs="宋体"/>
          <w:sz w:val="24"/>
          <w:szCs w:val="24"/>
        </w:rPr>
        <w:t>有效特色服务详实，贴切实际、实用性强</w:t>
      </w:r>
    </w:p>
    <w:p>
      <w:pPr>
        <w:ind w:firstLine="480" w:firstLineChars="200"/>
        <w:rPr>
          <w:rFonts w:ascii="仿宋" w:hAnsi="仿宋" w:eastAsia="仿宋" w:cs="宋体"/>
          <w:sz w:val="24"/>
          <w:szCs w:val="24"/>
        </w:rPr>
      </w:pPr>
      <w:r>
        <w:rPr>
          <w:rFonts w:hint="eastAsia" w:ascii="仿宋" w:hAnsi="仿宋" w:eastAsia="仿宋" w:cs="宋体"/>
          <w:sz w:val="24"/>
          <w:szCs w:val="24"/>
        </w:rPr>
        <w:t>（三）案件理赔时效评审：</w:t>
      </w:r>
    </w:p>
    <w:p>
      <w:pPr>
        <w:ind w:firstLine="480" w:firstLineChars="200"/>
        <w:rPr>
          <w:rFonts w:ascii="仿宋" w:hAnsi="仿宋" w:eastAsia="仿宋" w:cs="宋体"/>
          <w:sz w:val="24"/>
          <w:szCs w:val="24"/>
        </w:rPr>
      </w:pPr>
      <w:r>
        <w:rPr>
          <w:rFonts w:hint="eastAsia" w:ascii="仿宋" w:hAnsi="仿宋" w:eastAsia="仿宋" w:cs="宋体"/>
          <w:sz w:val="24"/>
          <w:szCs w:val="24"/>
        </w:rPr>
        <w:t>1.意外身故或残疾案件资料齐全情况下， 15个工作日（含）内结案；</w:t>
      </w:r>
    </w:p>
    <w:p>
      <w:pPr>
        <w:ind w:firstLine="480" w:firstLineChars="200"/>
        <w:rPr>
          <w:rFonts w:ascii="仿宋" w:hAnsi="仿宋" w:eastAsia="仿宋" w:cs="宋体"/>
          <w:sz w:val="24"/>
          <w:szCs w:val="24"/>
        </w:rPr>
      </w:pPr>
      <w:r>
        <w:rPr>
          <w:rFonts w:hint="eastAsia" w:ascii="仿宋" w:hAnsi="仿宋" w:eastAsia="仿宋" w:cs="宋体"/>
          <w:sz w:val="24"/>
          <w:szCs w:val="24"/>
        </w:rPr>
        <w:t>2.非意外身故及残疾案件资料齐全情况下， 5工作日（含）内结案；</w:t>
      </w:r>
    </w:p>
    <w:p>
      <w:pPr>
        <w:pStyle w:val="5"/>
        <w:rPr>
          <w:rFonts w:ascii="仿宋" w:hAnsi="仿宋" w:eastAsia="仿宋" w:cs="宋体"/>
          <w:sz w:val="24"/>
          <w:szCs w:val="24"/>
        </w:rPr>
      </w:pPr>
      <w:bookmarkStart w:id="93" w:name="_Toc88838447"/>
      <w:r>
        <w:rPr>
          <w:rFonts w:hint="eastAsia" w:ascii="仿宋" w:hAnsi="仿宋" w:eastAsia="仿宋" w:cs="宋体"/>
          <w:sz w:val="24"/>
          <w:szCs w:val="24"/>
        </w:rPr>
        <w:t>三、付款方式</w:t>
      </w:r>
      <w:bookmarkEnd w:id="89"/>
      <w:bookmarkEnd w:id="90"/>
      <w:bookmarkEnd w:id="91"/>
      <w:bookmarkEnd w:id="92"/>
      <w:bookmarkEnd w:id="93"/>
    </w:p>
    <w:p>
      <w:pPr>
        <w:ind w:firstLine="480" w:firstLineChars="200"/>
        <w:rPr>
          <w:rFonts w:ascii="仿宋" w:hAnsi="仿宋" w:eastAsia="仿宋" w:cs="宋体"/>
          <w:sz w:val="24"/>
          <w:szCs w:val="24"/>
        </w:rPr>
      </w:pPr>
      <w:bookmarkStart w:id="94" w:name="_Toc493364782"/>
      <w:bookmarkStart w:id="95" w:name="_Toc2432"/>
      <w:bookmarkStart w:id="96" w:name="_Toc344475123"/>
      <w:r>
        <w:rPr>
          <w:rFonts w:hint="eastAsia" w:ascii="仿宋" w:hAnsi="仿宋" w:eastAsia="仿宋" w:cs="宋体"/>
          <w:sz w:val="24"/>
          <w:szCs w:val="24"/>
        </w:rPr>
        <w:t>中标后，供应商在完整投保流程结束后出具保单复印件，由采购人向成交供应商支付货款的100%后，供应商开具相应金额的增值税发票，并和保单原件在2个工作日内送达采购方。</w:t>
      </w:r>
    </w:p>
    <w:bookmarkEnd w:id="94"/>
    <w:bookmarkEnd w:id="95"/>
    <w:bookmarkEnd w:id="96"/>
    <w:p>
      <w:pPr>
        <w:pStyle w:val="5"/>
        <w:rPr>
          <w:rFonts w:ascii="仿宋" w:hAnsi="仿宋" w:eastAsia="仿宋" w:cs="宋体"/>
          <w:sz w:val="24"/>
          <w:szCs w:val="24"/>
        </w:rPr>
      </w:pPr>
      <w:bookmarkStart w:id="97" w:name="_Toc493364784"/>
      <w:bookmarkStart w:id="98" w:name="_Toc88838448"/>
      <w:bookmarkStart w:id="99" w:name="_Toc12390"/>
      <w:bookmarkStart w:id="100" w:name="_Toc6855_WPSOffice_Level2"/>
      <w:r>
        <w:rPr>
          <w:rFonts w:hint="eastAsia" w:ascii="仿宋" w:hAnsi="仿宋" w:eastAsia="仿宋" w:cs="宋体"/>
          <w:sz w:val="24"/>
          <w:szCs w:val="24"/>
        </w:rPr>
        <w:t>四、</w:t>
      </w:r>
      <w:bookmarkStart w:id="101" w:name="_Toc344475125"/>
      <w:r>
        <w:rPr>
          <w:rFonts w:hint="eastAsia" w:ascii="仿宋" w:hAnsi="仿宋" w:eastAsia="仿宋" w:cs="宋体"/>
          <w:sz w:val="24"/>
          <w:szCs w:val="24"/>
        </w:rPr>
        <w:t>其他</w:t>
      </w:r>
      <w:bookmarkEnd w:id="97"/>
      <w:bookmarkEnd w:id="98"/>
      <w:bookmarkEnd w:id="99"/>
      <w:bookmarkEnd w:id="100"/>
    </w:p>
    <w:bookmarkEnd w:id="101"/>
    <w:p>
      <w:pPr>
        <w:snapToGrid w:val="0"/>
        <w:ind w:firstLine="480" w:firstLineChars="200"/>
        <w:rPr>
          <w:rFonts w:ascii="仿宋" w:hAnsi="仿宋" w:eastAsia="仿宋" w:cs="宋体"/>
          <w:sz w:val="24"/>
          <w:szCs w:val="24"/>
        </w:rPr>
      </w:pPr>
      <w:r>
        <w:rPr>
          <w:rFonts w:hint="eastAsia" w:ascii="仿宋" w:hAnsi="仿宋" w:eastAsia="仿宋" w:cs="宋体"/>
          <w:sz w:val="24"/>
          <w:szCs w:val="24"/>
        </w:rPr>
        <w:t>（一）供应商必须在响应文件中对以上条款和服务承诺明确列出，承诺内容必须达到本篇及竞争性磋商其他条款的要求。</w:t>
      </w:r>
    </w:p>
    <w:p>
      <w:pPr>
        <w:snapToGrid w:val="0"/>
        <w:ind w:firstLine="480" w:firstLineChars="200"/>
        <w:rPr>
          <w:rFonts w:ascii="仿宋" w:hAnsi="仿宋" w:eastAsia="仿宋" w:cs="宋体"/>
          <w:b/>
          <w:sz w:val="24"/>
          <w:szCs w:val="24"/>
        </w:rPr>
      </w:pPr>
      <w:r>
        <w:rPr>
          <w:rFonts w:hint="eastAsia" w:ascii="仿宋" w:hAnsi="仿宋" w:eastAsia="仿宋" w:cs="宋体"/>
          <w:sz w:val="24"/>
          <w:szCs w:val="24"/>
        </w:rPr>
        <w:t>（二）其他未尽事宜由供需双方在采购合同中详细约定。</w:t>
      </w:r>
    </w:p>
    <w:p>
      <w:pPr>
        <w:widowControl/>
        <w:ind w:firstLine="480" w:firstLineChars="200"/>
        <w:jc w:val="left"/>
        <w:rPr>
          <w:rFonts w:ascii="仿宋_GB2312" w:eastAsia="仿宋_GB2312"/>
          <w:color w:val="FF0000"/>
          <w:sz w:val="24"/>
          <w:szCs w:val="24"/>
        </w:rPr>
      </w:pPr>
      <w:r>
        <w:rPr>
          <w:color w:val="FF0000"/>
          <w:sz w:val="24"/>
          <w:szCs w:val="24"/>
        </w:rPr>
        <w:br w:type="page"/>
      </w:r>
    </w:p>
    <w:p>
      <w:pPr>
        <w:outlineLvl w:val="0"/>
        <w:rPr>
          <w:rFonts w:ascii="仿宋" w:hAnsi="仿宋" w:eastAsia="仿宋" w:cs="仿宋"/>
          <w:b/>
          <w:bCs/>
          <w:sz w:val="36"/>
          <w:szCs w:val="30"/>
        </w:rPr>
      </w:pPr>
      <w:bookmarkStart w:id="102" w:name="_Toc88838449"/>
      <w:r>
        <w:rPr>
          <w:rFonts w:hint="eastAsia" w:ascii="仿宋" w:hAnsi="仿宋" w:eastAsia="仿宋" w:cs="仿宋"/>
          <w:b/>
          <w:bCs/>
          <w:sz w:val="36"/>
          <w:szCs w:val="30"/>
        </w:rPr>
        <w:t>第五篇  磋商程序及方法、评审标准、无效响应和采购终止</w:t>
      </w:r>
      <w:bookmarkEnd w:id="102"/>
    </w:p>
    <w:p>
      <w:pPr>
        <w:rPr>
          <w:rFonts w:ascii="仿宋" w:hAnsi="仿宋" w:eastAsia="仿宋" w:cs="仿宋"/>
          <w:color w:val="FF0000"/>
          <w:sz w:val="24"/>
          <w:szCs w:val="24"/>
        </w:rPr>
      </w:pPr>
    </w:p>
    <w:p>
      <w:pPr>
        <w:outlineLvl w:val="1"/>
        <w:rPr>
          <w:rFonts w:ascii="仿宋" w:hAnsi="仿宋" w:eastAsia="仿宋" w:cs="仿宋"/>
          <w:b/>
          <w:bCs/>
          <w:sz w:val="24"/>
          <w:szCs w:val="24"/>
        </w:rPr>
      </w:pPr>
      <w:bookmarkStart w:id="103" w:name="_Toc86778444"/>
      <w:bookmarkStart w:id="104" w:name="_Toc88838450"/>
      <w:r>
        <w:rPr>
          <w:rFonts w:hint="eastAsia" w:ascii="仿宋" w:hAnsi="仿宋" w:eastAsia="仿宋" w:cs="仿宋"/>
          <w:b/>
          <w:bCs/>
          <w:sz w:val="24"/>
          <w:szCs w:val="24"/>
        </w:rPr>
        <w:t>一、磋商程序及方法</w:t>
      </w:r>
      <w:bookmarkEnd w:id="103"/>
      <w:bookmarkEnd w:id="104"/>
    </w:p>
    <w:p>
      <w:pPr>
        <w:ind w:firstLine="480" w:firstLineChars="200"/>
        <w:rPr>
          <w:rFonts w:ascii="仿宋" w:hAnsi="仿宋" w:eastAsia="仿宋" w:cs="仿宋"/>
          <w:sz w:val="24"/>
          <w:szCs w:val="24"/>
        </w:rPr>
      </w:pPr>
      <w:r>
        <w:rPr>
          <w:rFonts w:hint="eastAsia" w:ascii="仿宋" w:hAnsi="仿宋" w:eastAsia="仿宋" w:cs="仿宋"/>
          <w:sz w:val="24"/>
          <w:szCs w:val="24"/>
        </w:rPr>
        <w:t>（一）磋商按竞争性磋商文件规定的时间和地点进行，供应商须有法定代表人或其授权代表参加并签到。竞争性磋商以抽签的形式确定磋商顺序，由本项目依法组建的磋商小组分别与各供应商进行磋商。</w:t>
      </w:r>
    </w:p>
    <w:p>
      <w:pPr>
        <w:ind w:firstLine="480" w:firstLineChars="200"/>
        <w:rPr>
          <w:rFonts w:ascii="仿宋" w:hAnsi="仿宋" w:eastAsia="仿宋" w:cs="仿宋"/>
          <w:sz w:val="24"/>
          <w:szCs w:val="24"/>
        </w:rPr>
      </w:pPr>
      <w:r>
        <w:rPr>
          <w:rFonts w:hint="eastAsia" w:ascii="仿宋" w:hAnsi="仿宋" w:eastAsia="仿宋" w:cs="仿宋"/>
          <w:sz w:val="24"/>
          <w:szCs w:val="24"/>
        </w:rPr>
        <w:t>（二）磋商小组对各供应商的资格条件、响应文件的有效性、完整性和响应程度进行审查。各供应商只有在完全符合要求的前提下，才能参与正式磋商。</w:t>
      </w:r>
    </w:p>
    <w:p>
      <w:pPr>
        <w:snapToGrid w:val="0"/>
        <w:ind w:firstLine="480" w:firstLineChars="200"/>
        <w:rPr>
          <w:rFonts w:ascii="仿宋" w:hAnsi="仿宋" w:eastAsia="仿宋" w:cs="仿宋"/>
          <w:kern w:val="0"/>
          <w:sz w:val="24"/>
          <w:szCs w:val="24"/>
        </w:rPr>
      </w:pPr>
      <w:r>
        <w:rPr>
          <w:rFonts w:hint="eastAsia" w:ascii="仿宋" w:hAnsi="仿宋" w:eastAsia="仿宋" w:cs="仿宋"/>
          <w:sz w:val="24"/>
          <w:szCs w:val="24"/>
        </w:rPr>
        <w:t>1.</w:t>
      </w:r>
      <w:r>
        <w:rPr>
          <w:rFonts w:hint="eastAsia" w:ascii="仿宋" w:hAnsi="仿宋" w:eastAsia="仿宋" w:cs="仿宋"/>
          <w:kern w:val="0"/>
          <w:sz w:val="24"/>
          <w:szCs w:val="24"/>
        </w:rPr>
        <w:t>资格性检查。依据法律法规和竞争性磋商文件的规定，对响应文件中的资格证明、磋商保证金等进行审查，以确定供应商是否具备磋商资格。资格性检查资料表如下：</w:t>
      </w:r>
    </w:p>
    <w:tbl>
      <w:tblPr>
        <w:tblStyle w:val="17"/>
        <w:tblW w:w="9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005"/>
        <w:gridCol w:w="1872"/>
        <w:gridCol w:w="6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80" w:type="dxa"/>
            <w:vAlign w:val="center"/>
          </w:tcPr>
          <w:p>
            <w:pPr>
              <w:rPr>
                <w:rFonts w:ascii="仿宋" w:hAnsi="仿宋" w:eastAsia="仿宋"/>
                <w:sz w:val="24"/>
                <w:szCs w:val="24"/>
              </w:rPr>
            </w:pPr>
            <w:r>
              <w:rPr>
                <w:rFonts w:hint="eastAsia" w:ascii="仿宋" w:hAnsi="仿宋" w:eastAsia="仿宋"/>
                <w:sz w:val="24"/>
                <w:szCs w:val="24"/>
              </w:rPr>
              <w:t>序号</w:t>
            </w:r>
          </w:p>
        </w:tc>
        <w:tc>
          <w:tcPr>
            <w:tcW w:w="2877" w:type="dxa"/>
            <w:gridSpan w:val="2"/>
            <w:vAlign w:val="center"/>
          </w:tcPr>
          <w:p>
            <w:pPr>
              <w:spacing w:line="240" w:lineRule="atLeast"/>
              <w:jc w:val="center"/>
              <w:rPr>
                <w:rFonts w:ascii="仿宋" w:hAnsi="仿宋" w:eastAsia="仿宋"/>
                <w:b/>
                <w:sz w:val="24"/>
                <w:szCs w:val="24"/>
              </w:rPr>
            </w:pPr>
            <w:r>
              <w:rPr>
                <w:rFonts w:hint="eastAsia" w:ascii="仿宋" w:hAnsi="仿宋" w:eastAsia="仿宋"/>
                <w:b/>
                <w:sz w:val="24"/>
                <w:szCs w:val="24"/>
              </w:rPr>
              <w:t>检查因素</w:t>
            </w:r>
          </w:p>
        </w:tc>
        <w:tc>
          <w:tcPr>
            <w:tcW w:w="6054" w:type="dxa"/>
            <w:vAlign w:val="center"/>
          </w:tcPr>
          <w:p>
            <w:pPr>
              <w:spacing w:line="240" w:lineRule="atLeast"/>
              <w:jc w:val="center"/>
              <w:rPr>
                <w:rFonts w:ascii="仿宋" w:hAnsi="仿宋" w:eastAsia="仿宋"/>
                <w:b/>
                <w:sz w:val="24"/>
                <w:szCs w:val="24"/>
              </w:rPr>
            </w:pPr>
            <w:r>
              <w:rPr>
                <w:rFonts w:hint="eastAsia" w:ascii="仿宋" w:hAnsi="仿宋" w:eastAsia="仿宋"/>
                <w:b/>
                <w:sz w:val="24"/>
                <w:szCs w:val="24"/>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6" w:hRule="atLeast"/>
        </w:trPr>
        <w:tc>
          <w:tcPr>
            <w:tcW w:w="480" w:type="dxa"/>
            <w:vAlign w:val="center"/>
          </w:tcPr>
          <w:p>
            <w:pPr>
              <w:snapToGrid w:val="0"/>
              <w:spacing w:line="240" w:lineRule="exact"/>
              <w:rPr>
                <w:rFonts w:ascii="仿宋" w:hAnsi="仿宋" w:eastAsia="仿宋" w:cs="宋体"/>
                <w:sz w:val="24"/>
                <w:szCs w:val="24"/>
              </w:rPr>
            </w:pPr>
            <w:r>
              <w:rPr>
                <w:rFonts w:hint="eastAsia" w:ascii="仿宋" w:hAnsi="仿宋" w:eastAsia="仿宋" w:cs="宋体"/>
                <w:sz w:val="24"/>
                <w:szCs w:val="24"/>
              </w:rPr>
              <w:t>1</w:t>
            </w:r>
          </w:p>
        </w:tc>
        <w:tc>
          <w:tcPr>
            <w:tcW w:w="1005" w:type="dxa"/>
            <w:vMerge w:val="restart"/>
            <w:vAlign w:val="center"/>
          </w:tcPr>
          <w:p>
            <w:pPr>
              <w:snapToGrid w:val="0"/>
              <w:spacing w:line="400" w:lineRule="exact"/>
              <w:rPr>
                <w:rFonts w:ascii="仿宋" w:hAnsi="仿宋" w:eastAsia="仿宋" w:cs="宋体"/>
                <w:sz w:val="21"/>
                <w:szCs w:val="21"/>
              </w:rPr>
            </w:pPr>
            <w:r>
              <w:rPr>
                <w:rFonts w:hint="eastAsia" w:ascii="仿宋" w:hAnsi="仿宋" w:eastAsia="仿宋" w:cs="宋体"/>
                <w:sz w:val="21"/>
                <w:szCs w:val="21"/>
              </w:rPr>
              <w:t>竞标人应符合的基本资格条件</w:t>
            </w:r>
          </w:p>
        </w:tc>
        <w:tc>
          <w:tcPr>
            <w:tcW w:w="1872" w:type="dxa"/>
            <w:vAlign w:val="center"/>
          </w:tcPr>
          <w:p>
            <w:pPr>
              <w:snapToGrid w:val="0"/>
              <w:spacing w:line="300" w:lineRule="exact"/>
              <w:rPr>
                <w:rFonts w:ascii="仿宋" w:hAnsi="仿宋"/>
                <w:sz w:val="21"/>
                <w:szCs w:val="21"/>
              </w:rPr>
            </w:pPr>
            <w:r>
              <w:rPr>
                <w:rFonts w:hint="eastAsia" w:ascii="仿宋" w:hAnsi="仿宋" w:eastAsia="仿宋" w:cs="宋体"/>
                <w:sz w:val="21"/>
                <w:szCs w:val="21"/>
              </w:rPr>
              <w:t>（1）具有独立承担民事责任的能力</w:t>
            </w:r>
          </w:p>
        </w:tc>
        <w:tc>
          <w:tcPr>
            <w:tcW w:w="6054" w:type="dxa"/>
            <w:vAlign w:val="center"/>
          </w:tcPr>
          <w:p>
            <w:pPr>
              <w:spacing w:line="300" w:lineRule="exact"/>
              <w:rPr>
                <w:rFonts w:ascii="仿宋" w:hAnsi="仿宋" w:eastAsia="仿宋" w:cs="宋体"/>
                <w:sz w:val="21"/>
                <w:szCs w:val="21"/>
              </w:rPr>
            </w:pPr>
            <w:r>
              <w:rPr>
                <w:rFonts w:hint="eastAsia" w:ascii="仿宋" w:hAnsi="仿宋" w:eastAsia="仿宋" w:cs="宋体"/>
                <w:sz w:val="21"/>
                <w:szCs w:val="21"/>
              </w:rPr>
              <w:t>提供真实有效的营业执照复印件并加盖公章，并且营业执照的经营范围必须是与本次招标项目有关的范围，法定代表人身份证明书以及法定代表人授权委托书。</w:t>
            </w:r>
          </w:p>
          <w:p>
            <w:pPr>
              <w:spacing w:line="300" w:lineRule="exact"/>
              <w:rPr>
                <w:rFonts w:ascii="仿宋" w:hAnsi="仿宋"/>
                <w:sz w:val="21"/>
                <w:szCs w:val="21"/>
              </w:rPr>
            </w:pPr>
            <w:r>
              <w:rPr>
                <w:rFonts w:hint="eastAsia" w:ascii="仿宋" w:hAnsi="仿宋" w:eastAsia="仿宋" w:cs="仿宋"/>
                <w:sz w:val="21"/>
                <w:szCs w:val="21"/>
              </w:rPr>
              <w:t>不具有独立法人的分公司、办事处等分支机构不能参加磋商。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9" w:hRule="atLeast"/>
        </w:trPr>
        <w:tc>
          <w:tcPr>
            <w:tcW w:w="480" w:type="dxa"/>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1"/>
                <w:szCs w:val="21"/>
              </w:rPr>
            </w:pPr>
          </w:p>
        </w:tc>
        <w:tc>
          <w:tcPr>
            <w:tcW w:w="1872" w:type="dxa"/>
            <w:vAlign w:val="center"/>
          </w:tcPr>
          <w:p>
            <w:pPr>
              <w:snapToGrid w:val="0"/>
              <w:spacing w:line="300" w:lineRule="exact"/>
              <w:rPr>
                <w:rFonts w:ascii="仿宋" w:hAnsi="仿宋" w:eastAsia="仿宋" w:cs="宋体"/>
                <w:sz w:val="21"/>
                <w:szCs w:val="21"/>
              </w:rPr>
            </w:pPr>
            <w:r>
              <w:rPr>
                <w:rFonts w:hint="eastAsia" w:ascii="仿宋" w:hAnsi="仿宋" w:eastAsia="仿宋" w:cs="宋体"/>
                <w:sz w:val="21"/>
                <w:szCs w:val="21"/>
              </w:rPr>
              <w:t>（2）具有良好的商业信誉和健全的财务会计制度</w:t>
            </w:r>
          </w:p>
        </w:tc>
        <w:tc>
          <w:tcPr>
            <w:tcW w:w="6054" w:type="dxa"/>
            <w:vAlign w:val="center"/>
          </w:tcPr>
          <w:p>
            <w:pPr>
              <w:spacing w:line="300" w:lineRule="exact"/>
              <w:rPr>
                <w:rFonts w:ascii="仿宋" w:hAnsi="仿宋" w:eastAsia="仿宋" w:cs="宋体"/>
                <w:sz w:val="21"/>
                <w:szCs w:val="21"/>
              </w:rPr>
            </w:pPr>
            <w:r>
              <w:rPr>
                <w:rFonts w:hint="eastAsia" w:ascii="仿宋" w:hAnsi="仿宋" w:eastAsia="仿宋" w:cs="宋体"/>
                <w:sz w:val="21"/>
                <w:szCs w:val="21"/>
              </w:rPr>
              <w:t>提供2020年度财务状况报告（表）（表：资产负债表和损益表）或其基本开户银行出具的资信证明（提供复印件）或审计报告复印件。本年度新成立或成立不满一年的组织提供磋商截止时间前一个月的财务报告（表）复印件或可提供银行出具的资信证明复印件。自然人无法提供财务状况报告（表）的，可提供银行出具的资信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1" w:hRule="atLeast"/>
        </w:trPr>
        <w:tc>
          <w:tcPr>
            <w:tcW w:w="480" w:type="dxa"/>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1"/>
                <w:szCs w:val="21"/>
              </w:rPr>
            </w:pPr>
          </w:p>
        </w:tc>
        <w:tc>
          <w:tcPr>
            <w:tcW w:w="1872" w:type="dxa"/>
            <w:vAlign w:val="center"/>
          </w:tcPr>
          <w:p>
            <w:pPr>
              <w:snapToGrid w:val="0"/>
              <w:spacing w:line="300" w:lineRule="exact"/>
              <w:rPr>
                <w:rFonts w:ascii="仿宋" w:hAnsi="仿宋" w:eastAsia="仿宋" w:cs="宋体"/>
                <w:sz w:val="21"/>
                <w:szCs w:val="21"/>
              </w:rPr>
            </w:pPr>
            <w:r>
              <w:rPr>
                <w:rFonts w:hint="eastAsia" w:ascii="仿宋" w:hAnsi="仿宋" w:eastAsia="仿宋" w:cs="宋体"/>
                <w:sz w:val="21"/>
                <w:szCs w:val="21"/>
              </w:rPr>
              <w:t>（3）具有履行合同所必需的设备和专业技术能力</w:t>
            </w:r>
          </w:p>
        </w:tc>
        <w:tc>
          <w:tcPr>
            <w:tcW w:w="6054" w:type="dxa"/>
            <w:vAlign w:val="center"/>
          </w:tcPr>
          <w:p>
            <w:pPr>
              <w:spacing w:line="300" w:lineRule="exact"/>
              <w:rPr>
                <w:rFonts w:ascii="仿宋" w:hAnsi="仿宋"/>
                <w:sz w:val="21"/>
                <w:szCs w:val="21"/>
              </w:rPr>
            </w:pPr>
            <w:r>
              <w:rPr>
                <w:rFonts w:hint="eastAsia" w:ascii="仿宋" w:hAnsi="仿宋" w:eastAsia="仿宋" w:cs="宋体"/>
                <w:color w:val="000000"/>
                <w:sz w:val="21"/>
                <w:szCs w:val="21"/>
              </w:rPr>
              <w:t>供应商提供书面声明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5" w:hRule="atLeast"/>
        </w:trPr>
        <w:tc>
          <w:tcPr>
            <w:tcW w:w="480" w:type="dxa"/>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1"/>
                <w:szCs w:val="21"/>
              </w:rPr>
            </w:pPr>
          </w:p>
        </w:tc>
        <w:tc>
          <w:tcPr>
            <w:tcW w:w="1872" w:type="dxa"/>
            <w:vAlign w:val="center"/>
          </w:tcPr>
          <w:p>
            <w:pPr>
              <w:snapToGrid w:val="0"/>
              <w:spacing w:line="300" w:lineRule="exact"/>
              <w:rPr>
                <w:rFonts w:ascii="仿宋" w:hAnsi="仿宋" w:eastAsia="仿宋" w:cs="宋体"/>
                <w:sz w:val="21"/>
                <w:szCs w:val="21"/>
              </w:rPr>
            </w:pPr>
            <w:r>
              <w:rPr>
                <w:rFonts w:hint="eastAsia" w:ascii="仿宋" w:hAnsi="仿宋" w:eastAsia="仿宋" w:cs="宋体"/>
                <w:sz w:val="21"/>
                <w:szCs w:val="21"/>
              </w:rPr>
              <w:t>（4）有依法缴纳税收和社会保障金的良好记录</w:t>
            </w:r>
          </w:p>
        </w:tc>
        <w:tc>
          <w:tcPr>
            <w:tcW w:w="6054" w:type="dxa"/>
            <w:vAlign w:val="center"/>
          </w:tcPr>
          <w:p>
            <w:pPr>
              <w:spacing w:line="300" w:lineRule="exact"/>
              <w:rPr>
                <w:rFonts w:ascii="仿宋" w:hAnsi="仿宋" w:eastAsia="仿宋" w:cs="宋体"/>
                <w:sz w:val="21"/>
                <w:szCs w:val="21"/>
              </w:rPr>
            </w:pPr>
            <w:r>
              <w:rPr>
                <w:rFonts w:hint="eastAsia" w:ascii="仿宋" w:hAnsi="仿宋" w:eastAsia="仿宋" w:cs="宋体"/>
                <w:sz w:val="21"/>
                <w:szCs w:val="21"/>
              </w:rPr>
              <w:t>1.税务登记证（副本）复印件（注</w:t>
            </w:r>
            <w:r>
              <w:rPr>
                <w:rFonts w:ascii="仿宋" w:hAnsi="仿宋" w:eastAsia="仿宋" w:cs="宋体"/>
                <w:sz w:val="21"/>
                <w:szCs w:val="21"/>
              </w:rPr>
              <w:fldChar w:fldCharType="begin"/>
            </w:r>
            <w:r>
              <w:rPr>
                <w:rFonts w:hint="eastAsia" w:ascii="仿宋" w:hAnsi="仿宋" w:eastAsia="仿宋" w:cs="宋体"/>
                <w:sz w:val="21"/>
                <w:szCs w:val="21"/>
              </w:rPr>
              <w:instrText xml:space="preserve">eq \o\ac(○,1)</w:instrText>
            </w:r>
            <w:r>
              <w:rPr>
                <w:rFonts w:ascii="仿宋" w:hAnsi="仿宋" w:eastAsia="仿宋" w:cs="宋体"/>
                <w:sz w:val="21"/>
                <w:szCs w:val="21"/>
              </w:rPr>
              <w:fldChar w:fldCharType="end"/>
            </w:r>
            <w:r>
              <w:rPr>
                <w:rFonts w:hint="eastAsia" w:ascii="仿宋" w:hAnsi="仿宋" w:eastAsia="仿宋" w:cs="宋体"/>
                <w:sz w:val="21"/>
                <w:szCs w:val="21"/>
              </w:rPr>
              <w:t>）</w:t>
            </w:r>
          </w:p>
          <w:p>
            <w:pPr>
              <w:spacing w:line="300" w:lineRule="exact"/>
              <w:rPr>
                <w:rFonts w:ascii="仿宋" w:hAnsi="仿宋" w:eastAsia="仿宋" w:cs="宋体"/>
                <w:sz w:val="21"/>
                <w:szCs w:val="21"/>
              </w:rPr>
            </w:pPr>
            <w:r>
              <w:rPr>
                <w:rFonts w:hint="eastAsia" w:ascii="仿宋" w:hAnsi="仿宋" w:eastAsia="仿宋" w:cs="宋体"/>
                <w:sz w:val="21"/>
                <w:szCs w:val="21"/>
              </w:rPr>
              <w:t>2.2021年10月缴纳社会保障金的证明材料复印件（缴纳社会保障金的证明材料指：社会保险登记证（注</w:t>
            </w:r>
            <w:r>
              <w:rPr>
                <w:rFonts w:ascii="仿宋" w:hAnsi="仿宋" w:eastAsia="仿宋" w:cs="宋体"/>
                <w:sz w:val="21"/>
                <w:szCs w:val="21"/>
              </w:rPr>
              <w:fldChar w:fldCharType="begin"/>
            </w:r>
            <w:r>
              <w:rPr>
                <w:rFonts w:hint="eastAsia" w:ascii="仿宋" w:hAnsi="仿宋" w:eastAsia="仿宋" w:cs="宋体"/>
                <w:sz w:val="21"/>
                <w:szCs w:val="21"/>
              </w:rPr>
              <w:instrText xml:space="preserve">eq \o\ac(○,1)</w:instrText>
            </w:r>
            <w:r>
              <w:rPr>
                <w:rFonts w:ascii="仿宋" w:hAnsi="仿宋" w:eastAsia="仿宋" w:cs="宋体"/>
                <w:sz w:val="21"/>
                <w:szCs w:val="21"/>
              </w:rPr>
              <w:fldChar w:fldCharType="end"/>
            </w:r>
            <w:r>
              <w:rPr>
                <w:rFonts w:hint="eastAsia" w:ascii="仿宋" w:hAnsi="仿宋" w:eastAsia="仿宋" w:cs="宋体"/>
                <w:sz w:val="21"/>
                <w:szCs w:val="21"/>
              </w:rPr>
              <w:t>）或缴纳社会保险的凭据（专用收据或社会保险缴纳清单）。</w:t>
            </w:r>
          </w:p>
          <w:p>
            <w:pPr>
              <w:spacing w:line="300" w:lineRule="exact"/>
              <w:rPr>
                <w:rFonts w:ascii="仿宋" w:hAnsi="仿宋"/>
                <w:sz w:val="21"/>
                <w:szCs w:val="21"/>
              </w:rPr>
            </w:pPr>
            <w:r>
              <w:rPr>
                <w:rFonts w:hint="eastAsia" w:ascii="仿宋" w:hAnsi="仿宋" w:eastAsia="仿宋" w:cs="宋体"/>
                <w:sz w:val="21"/>
                <w:szCs w:val="21"/>
              </w:rPr>
              <w:t>3.依法免税或不需要缴纳社会保障资金的供应商，应提供相应文件证明其依法免税或不需要缴纳社会保障资金</w:t>
            </w:r>
            <w:r>
              <w:rPr>
                <w:rFonts w:ascii="仿宋" w:hAnsi="仿宋" w:eastAsia="仿宋" w:cs="宋体"/>
                <w:sz w:val="21"/>
                <w:szCs w:val="21"/>
              </w:rPr>
              <w:t>）</w:t>
            </w:r>
            <w:r>
              <w:rPr>
                <w:rFonts w:hint="eastAsia" w:ascii="仿宋" w:hAnsi="仿宋" w:eastAsia="仿宋"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trPr>
        <w:tc>
          <w:tcPr>
            <w:tcW w:w="480" w:type="dxa"/>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1"/>
                <w:szCs w:val="21"/>
              </w:rPr>
            </w:pPr>
          </w:p>
        </w:tc>
        <w:tc>
          <w:tcPr>
            <w:tcW w:w="1872" w:type="dxa"/>
            <w:vAlign w:val="center"/>
          </w:tcPr>
          <w:p>
            <w:pPr>
              <w:snapToGrid w:val="0"/>
              <w:spacing w:line="300" w:lineRule="exact"/>
              <w:rPr>
                <w:rFonts w:ascii="仿宋" w:hAnsi="仿宋" w:eastAsia="仿宋" w:cs="宋体"/>
                <w:sz w:val="21"/>
                <w:szCs w:val="21"/>
              </w:rPr>
            </w:pPr>
            <w:r>
              <w:rPr>
                <w:rFonts w:hint="eastAsia" w:ascii="仿宋" w:hAnsi="仿宋" w:eastAsia="仿宋" w:cs="宋体"/>
                <w:sz w:val="21"/>
                <w:szCs w:val="21"/>
              </w:rPr>
              <w:t>（5）参加政府采购活动前三年内，在经营活动中没有重大违法记录</w:t>
            </w:r>
          </w:p>
        </w:tc>
        <w:tc>
          <w:tcPr>
            <w:tcW w:w="6054" w:type="dxa"/>
            <w:vAlign w:val="center"/>
          </w:tcPr>
          <w:p>
            <w:pPr>
              <w:spacing w:line="300" w:lineRule="exact"/>
              <w:rPr>
                <w:rFonts w:ascii="仿宋" w:hAnsi="仿宋" w:eastAsia="仿宋" w:cs="宋体"/>
                <w:sz w:val="21"/>
                <w:szCs w:val="21"/>
              </w:rPr>
            </w:pPr>
            <w:r>
              <w:rPr>
                <w:rFonts w:hint="eastAsia" w:ascii="仿宋" w:hAnsi="仿宋" w:eastAsia="仿宋" w:cs="宋体"/>
                <w:sz w:val="21"/>
                <w:szCs w:val="21"/>
              </w:rPr>
              <w:t>1.供应商提供书面声明（见格式文件）；</w:t>
            </w:r>
          </w:p>
          <w:p>
            <w:pPr>
              <w:spacing w:line="300" w:lineRule="exact"/>
              <w:rPr>
                <w:rFonts w:ascii="仿宋" w:hAnsi="仿宋" w:eastAsia="仿宋" w:cs="宋体"/>
                <w:sz w:val="21"/>
                <w:szCs w:val="21"/>
              </w:rPr>
            </w:pPr>
            <w:r>
              <w:rPr>
                <w:rFonts w:hint="eastAsia" w:ascii="仿宋" w:hAnsi="仿宋" w:eastAsia="仿宋" w:cs="宋体"/>
                <w:sz w:val="21"/>
                <w:szCs w:val="21"/>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trPr>
        <w:tc>
          <w:tcPr>
            <w:tcW w:w="480" w:type="dxa"/>
            <w:vAlign w:val="center"/>
          </w:tcPr>
          <w:p>
            <w:pPr>
              <w:snapToGrid w:val="0"/>
              <w:spacing w:line="240" w:lineRule="exact"/>
              <w:rPr>
                <w:rFonts w:ascii="仿宋" w:hAnsi="仿宋" w:eastAsia="仿宋" w:cs="宋体"/>
                <w:sz w:val="24"/>
                <w:szCs w:val="24"/>
              </w:rPr>
            </w:pPr>
          </w:p>
        </w:tc>
        <w:tc>
          <w:tcPr>
            <w:tcW w:w="1005" w:type="dxa"/>
            <w:vMerge w:val="continue"/>
            <w:vAlign w:val="center"/>
          </w:tcPr>
          <w:p>
            <w:pPr>
              <w:snapToGrid w:val="0"/>
              <w:spacing w:line="240" w:lineRule="exact"/>
              <w:rPr>
                <w:rFonts w:ascii="仿宋" w:hAnsi="仿宋" w:eastAsia="仿宋" w:cs="宋体"/>
                <w:sz w:val="21"/>
                <w:szCs w:val="21"/>
              </w:rPr>
            </w:pPr>
          </w:p>
        </w:tc>
        <w:tc>
          <w:tcPr>
            <w:tcW w:w="1872" w:type="dxa"/>
            <w:vAlign w:val="center"/>
          </w:tcPr>
          <w:p>
            <w:pPr>
              <w:snapToGrid w:val="0"/>
              <w:spacing w:line="300" w:lineRule="exact"/>
              <w:rPr>
                <w:rFonts w:ascii="仿宋" w:hAnsi="仿宋" w:eastAsia="仿宋" w:cs="宋体"/>
                <w:sz w:val="21"/>
                <w:szCs w:val="21"/>
              </w:rPr>
            </w:pPr>
            <w:r>
              <w:rPr>
                <w:rFonts w:hint="eastAsia" w:ascii="仿宋" w:hAnsi="仿宋" w:eastAsia="仿宋" w:cs="宋体"/>
                <w:sz w:val="21"/>
                <w:szCs w:val="21"/>
              </w:rPr>
              <w:t>（6）法律、行政法规规定的其他条件</w:t>
            </w:r>
          </w:p>
        </w:tc>
        <w:tc>
          <w:tcPr>
            <w:tcW w:w="6054" w:type="dxa"/>
            <w:vAlign w:val="center"/>
          </w:tcPr>
          <w:p>
            <w:pPr>
              <w:snapToGrid w:val="0"/>
              <w:spacing w:line="400" w:lineRule="exact"/>
              <w:rPr>
                <w:rFonts w:ascii="仿宋" w:hAnsi="仿宋" w:eastAsia="仿宋"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480" w:type="dxa"/>
            <w:vAlign w:val="center"/>
          </w:tcPr>
          <w:p>
            <w:pPr>
              <w:snapToGrid w:val="0"/>
              <w:spacing w:line="240" w:lineRule="exact"/>
              <w:rPr>
                <w:rFonts w:ascii="仿宋" w:hAnsi="仿宋" w:eastAsia="仿宋" w:cs="宋体"/>
                <w:sz w:val="24"/>
                <w:szCs w:val="24"/>
              </w:rPr>
            </w:pPr>
            <w:r>
              <w:rPr>
                <w:rFonts w:hint="eastAsia" w:ascii="仿宋" w:hAnsi="仿宋" w:eastAsia="仿宋" w:cs="宋体"/>
                <w:sz w:val="24"/>
                <w:szCs w:val="24"/>
              </w:rPr>
              <w:t>2</w:t>
            </w:r>
          </w:p>
        </w:tc>
        <w:tc>
          <w:tcPr>
            <w:tcW w:w="2877" w:type="dxa"/>
            <w:gridSpan w:val="2"/>
            <w:vAlign w:val="center"/>
          </w:tcPr>
          <w:p>
            <w:pPr>
              <w:snapToGrid w:val="0"/>
              <w:spacing w:line="240" w:lineRule="exact"/>
              <w:rPr>
                <w:rFonts w:ascii="仿宋" w:hAnsi="仿宋" w:eastAsia="仿宋" w:cs="宋体"/>
                <w:sz w:val="21"/>
                <w:szCs w:val="21"/>
              </w:rPr>
            </w:pPr>
            <w:r>
              <w:rPr>
                <w:rFonts w:hint="eastAsia" w:ascii="仿宋" w:hAnsi="仿宋" w:eastAsia="仿宋" w:cs="宋体"/>
                <w:sz w:val="21"/>
                <w:szCs w:val="21"/>
              </w:rPr>
              <w:t>特定资格条件</w:t>
            </w:r>
          </w:p>
        </w:tc>
        <w:tc>
          <w:tcPr>
            <w:tcW w:w="6054" w:type="dxa"/>
            <w:vAlign w:val="center"/>
          </w:tcPr>
          <w:p>
            <w:pPr>
              <w:spacing w:line="400" w:lineRule="exact"/>
              <w:jc w:val="center"/>
              <w:rPr>
                <w:rFonts w:ascii="仿宋" w:hAnsi="仿宋"/>
                <w:sz w:val="21"/>
                <w:szCs w:val="21"/>
              </w:rPr>
            </w:pPr>
            <w:r>
              <w:rPr>
                <w:rFonts w:hint="eastAsia" w:ascii="仿宋" w:hAnsi="仿宋" w:eastAsia="仿宋" w:cs="宋体"/>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 w:hRule="atLeast"/>
        </w:trPr>
        <w:tc>
          <w:tcPr>
            <w:tcW w:w="480" w:type="dxa"/>
            <w:vAlign w:val="center"/>
          </w:tcPr>
          <w:p>
            <w:pPr>
              <w:snapToGrid w:val="0"/>
              <w:spacing w:line="240" w:lineRule="exact"/>
              <w:rPr>
                <w:rFonts w:ascii="仿宋" w:hAnsi="仿宋" w:eastAsia="仿宋" w:cs="宋体"/>
                <w:sz w:val="24"/>
                <w:szCs w:val="24"/>
              </w:rPr>
            </w:pPr>
            <w:r>
              <w:rPr>
                <w:rFonts w:hint="eastAsia" w:ascii="仿宋" w:hAnsi="仿宋" w:eastAsia="仿宋" w:cs="宋体"/>
                <w:sz w:val="24"/>
                <w:szCs w:val="24"/>
              </w:rPr>
              <w:t>3</w:t>
            </w:r>
          </w:p>
        </w:tc>
        <w:tc>
          <w:tcPr>
            <w:tcW w:w="2877" w:type="dxa"/>
            <w:gridSpan w:val="2"/>
            <w:vAlign w:val="center"/>
          </w:tcPr>
          <w:p>
            <w:pPr>
              <w:snapToGrid w:val="0"/>
              <w:spacing w:line="400" w:lineRule="exact"/>
              <w:rPr>
                <w:rFonts w:ascii="仿宋" w:hAnsi="仿宋" w:eastAsia="仿宋" w:cs="宋体"/>
                <w:sz w:val="21"/>
                <w:szCs w:val="21"/>
              </w:rPr>
            </w:pPr>
            <w:r>
              <w:rPr>
                <w:rFonts w:hint="eastAsia" w:ascii="仿宋" w:hAnsi="仿宋" w:eastAsia="仿宋" w:cs="宋体"/>
                <w:sz w:val="21"/>
                <w:szCs w:val="21"/>
              </w:rPr>
              <w:t>投标保证金</w:t>
            </w:r>
          </w:p>
        </w:tc>
        <w:tc>
          <w:tcPr>
            <w:tcW w:w="6054" w:type="dxa"/>
            <w:vAlign w:val="center"/>
          </w:tcPr>
          <w:p>
            <w:pPr>
              <w:snapToGrid w:val="0"/>
              <w:spacing w:line="400" w:lineRule="exact"/>
              <w:rPr>
                <w:rFonts w:ascii="仿宋" w:hAnsi="仿宋" w:eastAsia="仿宋" w:cs="宋体"/>
                <w:sz w:val="21"/>
                <w:szCs w:val="21"/>
              </w:rPr>
            </w:pPr>
            <w:r>
              <w:rPr>
                <w:rFonts w:hint="eastAsia" w:ascii="仿宋" w:hAnsi="仿宋" w:eastAsia="仿宋" w:cs="宋体"/>
                <w:sz w:val="21"/>
                <w:szCs w:val="21"/>
              </w:rPr>
              <w:t>足额缴纳投标保证金</w:t>
            </w:r>
          </w:p>
        </w:tc>
      </w:tr>
    </w:tbl>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注：</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\o\ac(○,1)</w:instrText>
      </w:r>
      <w:r>
        <w:rPr>
          <w:rFonts w:hint="eastAsia" w:ascii="仿宋" w:hAnsi="仿宋" w:eastAsia="仿宋" w:cs="仿宋"/>
          <w:sz w:val="24"/>
          <w:szCs w:val="24"/>
        </w:rPr>
        <w:fldChar w:fldCharType="end"/>
      </w:r>
      <w:r>
        <w:rPr>
          <w:rFonts w:hint="eastAsia" w:ascii="仿宋" w:hAnsi="仿宋" w:eastAsia="仿宋" w:cs="仿宋"/>
          <w:sz w:val="24"/>
          <w:szCs w:val="24"/>
        </w:rPr>
        <w:t>供应商按“三证合一”登记制度办理营业执照的，组织机构代码证和税务登记证（副本）以供应商所提供的营业执照（副本）复印件为准。</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\o\ac(○,2)</w:instrText>
      </w:r>
      <w:r>
        <w:rPr>
          <w:rFonts w:hint="eastAsia" w:ascii="仿宋" w:hAnsi="仿宋" w:eastAsia="仿宋" w:cs="仿宋"/>
          <w:sz w:val="24"/>
          <w:szCs w:val="24"/>
        </w:rPr>
        <w:fldChar w:fldCharType="end"/>
      </w:r>
      <w:r>
        <w:rPr>
          <w:rFonts w:hint="eastAsia" w:ascii="仿宋" w:hAnsi="仿宋" w:eastAsia="仿宋" w:cs="仿宋"/>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2.符合性检查。依据竞争性磋商文件的规定，从响应文件的有效性、完整性和对竞争性磋商文件的响应程度进行审查，以确定是否对竞争性磋商文件的实质性要求作出响应。符合性检查资料表如下：</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
                <w:kern w:val="0"/>
                <w:sz w:val="21"/>
                <w:szCs w:val="21"/>
              </w:rPr>
            </w:pPr>
            <w:r>
              <w:rPr>
                <w:rFonts w:hint="eastAsia" w:ascii="仿宋" w:hAnsi="仿宋" w:eastAsia="仿宋" w:cs="仿宋"/>
                <w:b/>
                <w:kern w:val="0"/>
                <w:sz w:val="21"/>
                <w:szCs w:val="21"/>
              </w:rPr>
              <w:t>序号</w:t>
            </w:r>
          </w:p>
        </w:tc>
        <w:tc>
          <w:tcPr>
            <w:tcW w:w="3544"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
                <w:kern w:val="0"/>
                <w:sz w:val="21"/>
                <w:szCs w:val="21"/>
              </w:rPr>
            </w:pPr>
            <w:r>
              <w:rPr>
                <w:rFonts w:hint="eastAsia" w:ascii="仿宋" w:hAnsi="仿宋" w:eastAsia="仿宋" w:cs="仿宋"/>
                <w:b/>
                <w:kern w:val="0"/>
                <w:sz w:val="21"/>
                <w:szCs w:val="21"/>
              </w:rPr>
              <w:t>评审因素</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b/>
                <w:kern w:val="0"/>
                <w:sz w:val="21"/>
                <w:szCs w:val="21"/>
              </w:rPr>
            </w:pPr>
            <w:r>
              <w:rPr>
                <w:rFonts w:hint="eastAsia" w:ascii="仿宋" w:hAnsi="仿宋" w:eastAsia="仿宋" w:cs="仿宋"/>
                <w:b/>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kern w:val="0"/>
                <w:sz w:val="21"/>
                <w:szCs w:val="21"/>
              </w:rPr>
            </w:pPr>
            <w:r>
              <w:rPr>
                <w:rFonts w:hint="eastAsia" w:ascii="仿宋" w:hAnsi="仿宋" w:eastAsia="仿宋" w:cs="仿宋"/>
                <w:kern w:val="0"/>
                <w:sz w:val="21"/>
                <w:szCs w:val="21"/>
              </w:rPr>
              <w:t>1</w:t>
            </w:r>
          </w:p>
        </w:tc>
        <w:tc>
          <w:tcPr>
            <w:tcW w:w="1560"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kern w:val="0"/>
                <w:sz w:val="21"/>
                <w:szCs w:val="21"/>
              </w:rPr>
              <w:t>有效性审查</w:t>
            </w: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rPr>
              <w:t>响应文件签署</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rPr>
              <w:t>响应文件上法定代表人或其授权代表人的签字齐全。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rPr>
            </w:pPr>
            <w:r>
              <w:rPr>
                <w:rFonts w:hint="eastAsia" w:ascii="仿宋" w:hAnsi="仿宋" w:eastAsia="仿宋" w:cs="仿宋"/>
                <w:sz w:val="21"/>
                <w:szCs w:val="21"/>
              </w:rPr>
              <w:t>法定代表人身份证明及授权委托书</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rPr>
            </w:pPr>
            <w:r>
              <w:rPr>
                <w:rFonts w:hint="eastAsia" w:ascii="仿宋" w:hAnsi="仿宋" w:eastAsia="仿宋" w:cs="仿宋"/>
                <w:sz w:val="21"/>
                <w:szCs w:val="21"/>
              </w:rPr>
              <w:t>法定代表人身份证明及授权委托书有效，符合竞争性磋商文件规定的格式，签字或盖章齐全。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方案</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lang w:val="zh-CN"/>
              </w:rPr>
              <w:t>只能有一个</w:t>
            </w:r>
            <w:r>
              <w:rPr>
                <w:rFonts w:hint="eastAsia" w:ascii="仿宋" w:hAnsi="仿宋" w:eastAsia="仿宋" w:cs="仿宋"/>
                <w:sz w:val="21"/>
                <w:szCs w:val="21"/>
              </w:rPr>
              <w:t>响应</w:t>
            </w:r>
            <w:r>
              <w:rPr>
                <w:rFonts w:hint="eastAsia" w:ascii="仿宋" w:hAnsi="仿宋" w:eastAsia="仿宋" w:cs="仿宋"/>
                <w:sz w:val="21"/>
                <w:szCs w:val="21"/>
                <w:lang w:val="zh-CN"/>
              </w:rPr>
              <w:t>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lang w:val="zh-CN"/>
              </w:rPr>
            </w:pPr>
            <w:r>
              <w:rPr>
                <w:rFonts w:hint="eastAsia" w:ascii="仿宋" w:hAnsi="仿宋" w:eastAsia="仿宋" w:cs="仿宋"/>
                <w:sz w:val="21"/>
                <w:szCs w:val="21"/>
              </w:rPr>
              <w:t>报价唯一</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lang w:val="zh-CN"/>
              </w:rPr>
              <w:t>只能在采购预算范围内报价，</w:t>
            </w:r>
            <w:r>
              <w:rPr>
                <w:rFonts w:hint="eastAsia" w:ascii="仿宋" w:hAnsi="仿宋" w:eastAsia="仿宋" w:cs="仿宋"/>
                <w:sz w:val="21"/>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kern w:val="0"/>
                <w:sz w:val="21"/>
                <w:szCs w:val="21"/>
              </w:rPr>
            </w:pPr>
            <w:r>
              <w:rPr>
                <w:rFonts w:hint="eastAsia" w:ascii="仿宋" w:hAnsi="仿宋" w:eastAsia="仿宋" w:cs="仿宋"/>
                <w:kern w:val="0"/>
                <w:sz w:val="21"/>
                <w:szCs w:val="21"/>
              </w:rPr>
              <w:t>2</w:t>
            </w:r>
          </w:p>
        </w:tc>
        <w:tc>
          <w:tcPr>
            <w:tcW w:w="1560"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kern w:val="0"/>
                <w:sz w:val="21"/>
                <w:szCs w:val="21"/>
              </w:rPr>
              <w:t>完整性审查</w:t>
            </w: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rPr>
              <w:t>响应</w:t>
            </w:r>
            <w:r>
              <w:rPr>
                <w:rFonts w:hint="eastAsia" w:ascii="仿宋" w:hAnsi="仿宋" w:eastAsia="仿宋" w:cs="仿宋"/>
                <w:sz w:val="21"/>
                <w:szCs w:val="21"/>
                <w:lang w:val="zh-CN"/>
              </w:rPr>
              <w:t>文件份数</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sz w:val="21"/>
                <w:szCs w:val="21"/>
              </w:rPr>
              <w:t>响应</w:t>
            </w:r>
            <w:r>
              <w:rPr>
                <w:rFonts w:hint="eastAsia" w:ascii="仿宋" w:hAnsi="仿宋" w:eastAsia="仿宋" w:cs="仿宋"/>
                <w:sz w:val="21"/>
                <w:szCs w:val="21"/>
                <w:lang w:val="zh-CN"/>
              </w:rPr>
              <w:t>文件正、副本数量</w:t>
            </w:r>
            <w:r>
              <w:rPr>
                <w:rFonts w:hint="eastAsia" w:ascii="仿宋" w:hAnsi="仿宋" w:eastAsia="仿宋" w:cs="仿宋"/>
                <w:sz w:val="21"/>
                <w:szCs w:val="21"/>
              </w:rPr>
              <w:t>（含电子文档）</w:t>
            </w:r>
            <w:r>
              <w:rPr>
                <w:rFonts w:hint="eastAsia" w:ascii="仿宋" w:hAnsi="仿宋" w:eastAsia="仿宋" w:cs="仿宋"/>
                <w:sz w:val="21"/>
                <w:szCs w:val="21"/>
                <w:lang w:val="zh-CN"/>
              </w:rPr>
              <w:t>符合</w:t>
            </w:r>
            <w:r>
              <w:rPr>
                <w:rFonts w:hint="eastAsia" w:ascii="仿宋" w:hAnsi="仿宋" w:eastAsia="仿宋" w:cs="仿宋"/>
                <w:sz w:val="21"/>
                <w:szCs w:val="21"/>
              </w:rPr>
              <w:t>竞争性磋商</w:t>
            </w:r>
            <w:r>
              <w:rPr>
                <w:rFonts w:hint="eastAsia" w:ascii="仿宋" w:hAnsi="仿宋" w:eastAsia="仿宋" w:cs="仿宋"/>
                <w:sz w:val="21"/>
                <w:szCs w:val="21"/>
                <w:lang w:val="zh-CN"/>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文件内容</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lang w:val="zh-CN"/>
              </w:rPr>
            </w:pPr>
            <w:r>
              <w:rPr>
                <w:rFonts w:hint="eastAsia" w:ascii="仿宋" w:hAnsi="仿宋" w:eastAsia="仿宋" w:cs="仿宋"/>
                <w:sz w:val="21"/>
                <w:szCs w:val="21"/>
              </w:rPr>
              <w:t>响应</w:t>
            </w:r>
            <w:r>
              <w:rPr>
                <w:rFonts w:hint="eastAsia" w:ascii="仿宋" w:hAnsi="仿宋" w:eastAsia="仿宋" w:cs="仿宋"/>
                <w:sz w:val="21"/>
                <w:szCs w:val="21"/>
                <w:lang w:val="zh-CN"/>
              </w:rPr>
              <w:t>文件内容齐全、无遗漏。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kern w:val="0"/>
                <w:sz w:val="21"/>
                <w:szCs w:val="21"/>
              </w:rPr>
            </w:pPr>
            <w:r>
              <w:rPr>
                <w:rFonts w:hint="eastAsia" w:ascii="仿宋" w:hAnsi="仿宋" w:eastAsia="仿宋" w:cs="仿宋"/>
                <w:kern w:val="0"/>
                <w:sz w:val="21"/>
                <w:szCs w:val="21"/>
              </w:rPr>
              <w:t>3</w:t>
            </w:r>
          </w:p>
        </w:tc>
        <w:tc>
          <w:tcPr>
            <w:tcW w:w="1560"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21"/>
                <w:szCs w:val="21"/>
                <w:lang w:val="zh-CN"/>
              </w:rPr>
            </w:pPr>
            <w:r>
              <w:rPr>
                <w:rFonts w:hint="eastAsia" w:ascii="仿宋" w:hAnsi="仿宋" w:eastAsia="仿宋" w:cs="仿宋"/>
                <w:kern w:val="0"/>
                <w:sz w:val="21"/>
                <w:szCs w:val="21"/>
              </w:rPr>
              <w:t>竞争性磋商文件的响应程度审查</w:t>
            </w: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kern w:val="0"/>
                <w:sz w:val="21"/>
                <w:szCs w:val="21"/>
              </w:rPr>
              <w:t>响应文件内容</w:t>
            </w:r>
          </w:p>
        </w:tc>
        <w:tc>
          <w:tcPr>
            <w:tcW w:w="5409" w:type="dxa"/>
            <w:tcBorders>
              <w:top w:val="single" w:color="auto" w:sz="4" w:space="0"/>
              <w:left w:val="single" w:color="auto" w:sz="4" w:space="0"/>
              <w:bottom w:val="single" w:color="auto" w:sz="4" w:space="0"/>
              <w:right w:val="single" w:color="auto" w:sz="4" w:space="0"/>
            </w:tcBorders>
            <w:vAlign w:val="center"/>
          </w:tcPr>
          <w:p>
            <w:pPr>
              <w:pStyle w:val="7"/>
              <w:spacing w:line="240" w:lineRule="exact"/>
              <w:jc w:val="left"/>
              <w:rPr>
                <w:rFonts w:ascii="仿宋" w:hAnsi="仿宋" w:eastAsia="仿宋" w:cs="仿宋"/>
                <w:kern w:val="0"/>
                <w:sz w:val="21"/>
                <w:szCs w:val="21"/>
              </w:rPr>
            </w:pPr>
            <w:r>
              <w:rPr>
                <w:rFonts w:hint="eastAsia" w:ascii="仿宋" w:hAnsi="仿宋" w:eastAsia="仿宋" w:cs="仿宋"/>
                <w:kern w:val="0"/>
                <w:sz w:val="21"/>
                <w:szCs w:val="21"/>
              </w:rPr>
              <w:t>对竞争性磋商文件第三、四篇</w:t>
            </w:r>
            <w:r>
              <w:rPr>
                <w:rFonts w:ascii="仿宋" w:hAnsi="仿宋" w:eastAsia="仿宋" w:cs="仿宋"/>
                <w:kern w:val="0"/>
                <w:sz w:val="21"/>
                <w:szCs w:val="21"/>
              </w:rPr>
              <w:t>（※）号标注的部分</w:t>
            </w:r>
            <w:r>
              <w:rPr>
                <w:rFonts w:hint="eastAsia" w:ascii="仿宋" w:hAnsi="仿宋" w:eastAsia="仿宋" w:cs="仿宋"/>
                <w:kern w:val="0"/>
                <w:sz w:val="21"/>
                <w:szCs w:val="21"/>
              </w:rPr>
              <w:t>作出响应。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sz w:val="21"/>
                <w:szCs w:val="21"/>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sz w:val="21"/>
                <w:szCs w:val="21"/>
                <w:lang w:val="zh-CN"/>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hint="eastAsia" w:ascii="仿宋" w:hAnsi="仿宋" w:eastAsia="仿宋" w:cs="仿宋"/>
                <w:kern w:val="0"/>
                <w:sz w:val="21"/>
                <w:szCs w:val="21"/>
              </w:rPr>
              <w:t>磋商有效期</w:t>
            </w:r>
          </w:p>
        </w:tc>
        <w:tc>
          <w:tcPr>
            <w:tcW w:w="5409"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kern w:val="0"/>
                <w:sz w:val="21"/>
                <w:szCs w:val="21"/>
              </w:rPr>
            </w:pPr>
            <w:r>
              <w:rPr>
                <w:rFonts w:ascii="仿宋" w:hAnsi="仿宋" w:eastAsia="仿宋" w:cs="仿宋"/>
                <w:kern w:val="0"/>
                <w:sz w:val="21"/>
                <w:szCs w:val="21"/>
              </w:rPr>
              <w:t>投标有效期为投标截止时间起90天。</w:t>
            </w:r>
          </w:p>
        </w:tc>
      </w:tr>
    </w:tbl>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（四）磋商小组要求供应商澄清、说明或者更正响应文件应当以书面形式作出。供应商的澄清、说明或者更正应当由法定代表人或其授权代表签字或者加盖公章。由授权代表签字的，应当附法定代表人授权书。</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（五）在磋商过程中磋商的任何一方不得向他人透露与磋商有关的服务资料、价格或其他信息</w:t>
      </w:r>
      <w:r>
        <w:rPr>
          <w:rFonts w:hint="eastAsia" w:ascii="仿宋" w:hAnsi="仿宋" w:eastAsia="仿宋" w:cs="仿宋"/>
          <w:b/>
          <w:bCs/>
          <w:sz w:val="24"/>
          <w:szCs w:val="24"/>
        </w:rPr>
        <w:t>。</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（七）供应商在磋商时作出的所有书面承诺须由法定代表人或其授权代表签字。</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hint="eastAsia" w:ascii="仿宋" w:hAnsi="仿宋" w:eastAsia="仿宋" w:cs="仿宋"/>
          <w:b/>
          <w:bCs/>
          <w:sz w:val="24"/>
          <w:szCs w:val="24"/>
        </w:rPr>
        <w:t>竞争性磋商文件无实质性增加而最后报价超过供应商响应文件中的报价的，以供应商响应文件中的报价为准</w:t>
      </w:r>
      <w:r>
        <w:rPr>
          <w:rFonts w:hint="eastAsia" w:ascii="仿宋" w:hAnsi="仿宋" w:eastAsia="仿宋" w:cs="仿宋"/>
          <w:sz w:val="24"/>
          <w:szCs w:val="24"/>
        </w:rPr>
        <w:t>。已提交响应文件但未在规定时间内进行最后报价的供应商，视为放弃最后报价，以供应商响应文件中的报价为准。</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（九）磋商小组采用综合评分法对提交最后报价的供应商的响应文件和最后报价（含有效书面承诺）进行综合评分。</w:t>
      </w:r>
      <w:r>
        <w:rPr>
          <w:rFonts w:hint="eastAsia" w:ascii="仿宋" w:hAnsi="仿宋" w:eastAsia="仿宋" w:cs="仿宋"/>
          <w:kern w:val="0"/>
          <w:sz w:val="24"/>
          <w:szCs w:val="24"/>
        </w:rPr>
        <w:t>综合评分法，是指响应文件满足竞争性磋商文件全部实质性要求且按照评审因素的量化指标评审得分最高的供应商为成交候选供应商的评审方法。供应商总得分为价格、商务、服务等评定因素分别按照相应权重值计算分项得分后相加，满分为100分</w:t>
      </w:r>
      <w:r>
        <w:rPr>
          <w:rFonts w:hint="eastAsia" w:ascii="仿宋" w:hAnsi="仿宋" w:eastAsia="仿宋" w:cs="仿宋"/>
          <w:sz w:val="24"/>
          <w:szCs w:val="24"/>
        </w:rPr>
        <w:t>。</w:t>
      </w:r>
    </w:p>
    <w:p>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磋商人各方面同时并列的，采取随机抽取的方式确定候选供应商。</w:t>
      </w:r>
    </w:p>
    <w:p>
      <w:pPr>
        <w:widowControl/>
        <w:jc w:val="left"/>
        <w:rPr>
          <w:rFonts w:ascii="仿宋" w:hAnsi="仿宋" w:eastAsia="仿宋" w:cs="仿宋"/>
          <w:b/>
          <w:bCs/>
          <w:sz w:val="24"/>
          <w:szCs w:val="24"/>
        </w:rPr>
      </w:pPr>
      <w:r>
        <w:rPr>
          <w:rFonts w:ascii="仿宋" w:hAnsi="仿宋" w:eastAsia="仿宋" w:cs="仿宋"/>
          <w:b/>
          <w:bCs/>
          <w:sz w:val="24"/>
          <w:szCs w:val="24"/>
        </w:rPr>
        <w:br w:type="page"/>
      </w:r>
    </w:p>
    <w:p>
      <w:pPr>
        <w:spacing w:line="440" w:lineRule="exact"/>
        <w:outlineLvl w:val="1"/>
      </w:pPr>
      <w:bookmarkStart w:id="105" w:name="_Toc86778445"/>
      <w:bookmarkStart w:id="106" w:name="_Toc88838451"/>
      <w:r>
        <w:rPr>
          <w:rFonts w:hint="eastAsia" w:ascii="仿宋" w:hAnsi="仿宋" w:eastAsia="仿宋" w:cs="仿宋"/>
          <w:b/>
          <w:bCs/>
          <w:sz w:val="24"/>
          <w:szCs w:val="24"/>
        </w:rPr>
        <w:t>二、评审标准</w:t>
      </w:r>
      <w:bookmarkEnd w:id="105"/>
      <w:bookmarkEnd w:id="106"/>
    </w:p>
    <w:p>
      <w:pPr>
        <w:spacing w:line="440" w:lineRule="exact"/>
        <w:ind w:firstLine="482"/>
        <w:outlineLvl w:val="1"/>
      </w:pPr>
    </w:p>
    <w:tbl>
      <w:tblPr>
        <w:tblStyle w:val="18"/>
        <w:tblW w:w="9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11"/>
        <w:gridCol w:w="757"/>
        <w:gridCol w:w="516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75" w:type="dxa"/>
            <w:noWrap/>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序号</w:t>
            </w:r>
          </w:p>
        </w:tc>
        <w:tc>
          <w:tcPr>
            <w:tcW w:w="1311" w:type="dxa"/>
            <w:noWrap/>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评分因素</w:t>
            </w:r>
          </w:p>
        </w:tc>
        <w:tc>
          <w:tcPr>
            <w:tcW w:w="757" w:type="dxa"/>
            <w:noWrap/>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分值</w:t>
            </w:r>
          </w:p>
        </w:tc>
        <w:tc>
          <w:tcPr>
            <w:tcW w:w="5162" w:type="dxa"/>
            <w:noWrap/>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评分标准</w:t>
            </w:r>
          </w:p>
        </w:tc>
        <w:tc>
          <w:tcPr>
            <w:tcW w:w="1974" w:type="dxa"/>
            <w:noWrap/>
          </w:tcPr>
          <w:p>
            <w:pPr>
              <w:widowControl/>
              <w:jc w:val="center"/>
              <w:rPr>
                <w:rFonts w:ascii="仿宋" w:hAnsi="仿宋" w:eastAsia="仿宋" w:cs="仿宋"/>
                <w:b/>
                <w:bCs/>
                <w:color w:val="000000"/>
                <w:kern w:val="0"/>
                <w:sz w:val="24"/>
                <w:szCs w:val="24"/>
              </w:rPr>
            </w:pPr>
            <w:r>
              <w:rPr>
                <w:rFonts w:hint="eastAsia" w:ascii="仿宋" w:hAnsi="仿宋" w:eastAsia="仿宋" w:cs="仿宋"/>
                <w:b/>
                <w:bCs/>
                <w:color w:val="000000"/>
                <w:ker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675" w:type="dxa"/>
            <w:noWrap/>
          </w:tcPr>
          <w:p>
            <w:pPr>
              <w:widowControl/>
              <w:jc w:val="center"/>
              <w:rPr>
                <w:rFonts w:ascii="仿宋" w:hAnsi="仿宋" w:eastAsia="仿宋" w:cs="仿宋"/>
                <w:b/>
                <w:bCs/>
                <w:color w:val="000000"/>
                <w:kern w:val="0"/>
                <w:sz w:val="24"/>
                <w:szCs w:val="24"/>
              </w:rPr>
            </w:pPr>
            <w:r>
              <w:rPr>
                <w:rFonts w:ascii="仿宋" w:hAnsi="仿宋" w:eastAsia="仿宋" w:cs="仿宋"/>
                <w:b/>
                <w:bCs/>
                <w:color w:val="000000"/>
                <w:kern w:val="0"/>
                <w:sz w:val="24"/>
                <w:szCs w:val="24"/>
              </w:rPr>
              <w:t>1</w:t>
            </w:r>
          </w:p>
        </w:tc>
        <w:tc>
          <w:tcPr>
            <w:tcW w:w="1311" w:type="dxa"/>
            <w:noWrap/>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磋商报价</w:t>
            </w:r>
          </w:p>
        </w:tc>
        <w:tc>
          <w:tcPr>
            <w:tcW w:w="757" w:type="dxa"/>
            <w:noWrap/>
          </w:tcPr>
          <w:p>
            <w:pPr>
              <w:widowControl/>
              <w:jc w:val="center"/>
              <w:rPr>
                <w:rFonts w:ascii="仿宋" w:hAnsi="仿宋" w:eastAsia="仿宋" w:cs="仿宋"/>
                <w:color w:val="000000"/>
                <w:kern w:val="0"/>
                <w:sz w:val="24"/>
                <w:szCs w:val="24"/>
              </w:rPr>
            </w:pPr>
            <w:r>
              <w:rPr>
                <w:rFonts w:ascii="仿宋" w:hAnsi="仿宋" w:eastAsia="仿宋" w:cs="仿宋"/>
                <w:color w:val="000000"/>
                <w:kern w:val="0"/>
                <w:sz w:val="24"/>
                <w:szCs w:val="24"/>
              </w:rPr>
              <w:t>10</w:t>
            </w:r>
          </w:p>
        </w:tc>
        <w:tc>
          <w:tcPr>
            <w:tcW w:w="5162" w:type="dxa"/>
            <w:noWrap/>
          </w:tcPr>
          <w:p>
            <w:pPr>
              <w:pStyle w:val="31"/>
              <w:widowControl/>
              <w:numPr>
                <w:ilvl w:val="0"/>
                <w:numId w:val="2"/>
              </w:numPr>
              <w:ind w:firstLineChars="0"/>
              <w:jc w:val="left"/>
            </w:pPr>
            <w:r>
              <w:rPr>
                <w:rFonts w:hint="eastAsia" w:ascii="仿宋" w:hAnsi="仿宋" w:eastAsia="仿宋" w:cs="仿宋"/>
                <w:color w:val="000000"/>
                <w:kern w:val="0"/>
                <w:sz w:val="24"/>
                <w:szCs w:val="24"/>
              </w:rPr>
              <w:t>保费权重占比</w:t>
            </w:r>
            <w:r>
              <w:rPr>
                <w:rFonts w:ascii="仿宋" w:hAnsi="仿宋" w:eastAsia="仿宋" w:cs="仿宋"/>
                <w:color w:val="000000"/>
                <w:kern w:val="0"/>
                <w:sz w:val="24"/>
                <w:szCs w:val="24"/>
              </w:rPr>
              <w:t>6</w:t>
            </w:r>
            <w:r>
              <w:rPr>
                <w:rFonts w:hint="eastAsia" w:ascii="仿宋" w:hAnsi="仿宋" w:eastAsia="仿宋" w:cs="仿宋"/>
                <w:color w:val="000000"/>
                <w:kern w:val="0"/>
                <w:sz w:val="24"/>
                <w:szCs w:val="24"/>
              </w:rPr>
              <w:t>分（保费金额不超过</w:t>
            </w:r>
            <w:r>
              <w:rPr>
                <w:rFonts w:ascii="仿宋" w:hAnsi="仿宋" w:eastAsia="仿宋" w:cs="仿宋"/>
                <w:color w:val="000000"/>
                <w:kern w:val="0"/>
                <w:sz w:val="24"/>
                <w:szCs w:val="24"/>
              </w:rPr>
              <w:t>6</w:t>
            </w:r>
            <w:r>
              <w:rPr>
                <w:rFonts w:hint="eastAsia" w:ascii="仿宋" w:hAnsi="仿宋" w:eastAsia="仿宋" w:cs="仿宋"/>
                <w:color w:val="000000"/>
                <w:kern w:val="0"/>
                <w:sz w:val="24"/>
                <w:szCs w:val="24"/>
              </w:rPr>
              <w:t>元</w:t>
            </w:r>
            <w:r>
              <w:rPr>
                <w:rFonts w:ascii="仿宋" w:hAnsi="仿宋" w:eastAsia="仿宋" w:cs="仿宋"/>
                <w:color w:val="000000"/>
                <w:kern w:val="0"/>
                <w:sz w:val="24"/>
                <w:szCs w:val="24"/>
              </w:rPr>
              <w:t>/</w:t>
            </w:r>
            <w:r>
              <w:rPr>
                <w:rFonts w:hint="eastAsia" w:ascii="仿宋" w:hAnsi="仿宋" w:eastAsia="仿宋" w:cs="仿宋"/>
                <w:color w:val="000000"/>
                <w:kern w:val="0"/>
                <w:sz w:val="24"/>
                <w:szCs w:val="24"/>
              </w:rPr>
              <w:t>人）；</w:t>
            </w:r>
          </w:p>
          <w:p>
            <w:pPr>
              <w:pStyle w:val="31"/>
              <w:widowControl/>
              <w:ind w:left="360" w:firstLine="0" w:firstLineChars="0"/>
              <w:jc w:val="left"/>
              <w:rPr>
                <w:sz w:val="24"/>
                <w:szCs w:val="24"/>
              </w:rPr>
            </w:pPr>
            <w:r>
              <w:rPr>
                <w:rFonts w:hint="eastAsia" w:ascii="仿宋" w:hAnsi="仿宋" w:eastAsia="仿宋" w:cs="仿宋"/>
                <w:sz w:val="24"/>
                <w:szCs w:val="24"/>
                <w:lang w:val="zh-CN"/>
              </w:rPr>
              <w:t>保费报价得分计算公式：有效的投标报价中的最低保费为评标基准价，按照下列公式计算每个投标人的保费投标价格得分。保费投标报价得分＝（评标基准</w:t>
            </w:r>
            <w:r>
              <w:rPr>
                <w:rFonts w:hint="eastAsia" w:ascii="仿宋" w:hAnsi="仿宋" w:eastAsia="仿宋" w:cs="仿宋"/>
                <w:sz w:val="24"/>
                <w:szCs w:val="24"/>
              </w:rPr>
              <w:t>价</w:t>
            </w:r>
            <w:r>
              <w:rPr>
                <w:rFonts w:hint="eastAsia" w:ascii="仿宋" w:hAnsi="仿宋" w:eastAsia="仿宋" w:cs="仿宋"/>
                <w:sz w:val="24"/>
                <w:szCs w:val="24"/>
                <w:lang w:val="zh-CN"/>
              </w:rPr>
              <w:t>/投标总价）×价格权重×100。</w:t>
            </w:r>
          </w:p>
          <w:p>
            <w:pPr>
              <w:pStyle w:val="31"/>
              <w:widowControl/>
              <w:numPr>
                <w:ilvl w:val="0"/>
                <w:numId w:val="2"/>
              </w:numPr>
              <w:ind w:firstLineChars="0"/>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保额权重占比</w:t>
            </w:r>
            <w:r>
              <w:rPr>
                <w:rFonts w:ascii="仿宋" w:hAnsi="仿宋" w:eastAsia="仿宋" w:cs="仿宋"/>
                <w:color w:val="000000"/>
                <w:kern w:val="0"/>
                <w:sz w:val="24"/>
                <w:szCs w:val="24"/>
              </w:rPr>
              <w:t>4</w:t>
            </w:r>
            <w:r>
              <w:rPr>
                <w:rFonts w:hint="eastAsia" w:ascii="仿宋" w:hAnsi="仿宋" w:eastAsia="仿宋" w:cs="仿宋"/>
                <w:color w:val="000000"/>
                <w:kern w:val="0"/>
                <w:sz w:val="24"/>
                <w:szCs w:val="24"/>
              </w:rPr>
              <w:t>分。</w:t>
            </w:r>
          </w:p>
          <w:p>
            <w:pPr>
              <w:pStyle w:val="31"/>
              <w:widowControl/>
              <w:ind w:left="360" w:firstLine="0" w:firstLineChars="0"/>
              <w:jc w:val="left"/>
              <w:rPr>
                <w:rFonts w:hint="eastAsia"/>
                <w:sz w:val="24"/>
                <w:szCs w:val="24"/>
              </w:rPr>
            </w:pPr>
            <w:r>
              <w:rPr>
                <w:rFonts w:hint="eastAsia" w:ascii="仿宋" w:hAnsi="仿宋" w:eastAsia="仿宋" w:cs="仿宋"/>
                <w:sz w:val="24"/>
                <w:szCs w:val="24"/>
                <w:lang w:val="zh-CN"/>
              </w:rPr>
              <w:t>保额报价得分计算公式：有效的投标报价中的最高保额为评标基准价，按照下列公式计算每个投标人的保额投标价格得分。保额投标报价得分＝（投标总价/评标基准</w:t>
            </w:r>
            <w:r>
              <w:rPr>
                <w:rFonts w:hint="eastAsia" w:ascii="仿宋" w:hAnsi="仿宋" w:eastAsia="仿宋" w:cs="仿宋"/>
                <w:sz w:val="24"/>
                <w:szCs w:val="24"/>
              </w:rPr>
              <w:t>价</w:t>
            </w:r>
            <w:r>
              <w:rPr>
                <w:rFonts w:hint="eastAsia" w:ascii="仿宋" w:hAnsi="仿宋" w:eastAsia="仿宋" w:cs="仿宋"/>
                <w:sz w:val="24"/>
                <w:szCs w:val="24"/>
                <w:lang w:val="zh-CN"/>
              </w:rPr>
              <w:t>）×价格权重×100。</w:t>
            </w:r>
          </w:p>
        </w:tc>
        <w:tc>
          <w:tcPr>
            <w:tcW w:w="1974" w:type="dxa"/>
          </w:tcPr>
          <w:p>
            <w:pPr>
              <w:widowControl/>
              <w:jc w:val="left"/>
              <w:rPr>
                <w:rFonts w:ascii="仿宋" w:hAnsi="仿宋" w:eastAsia="仿宋" w:cs="仿宋"/>
                <w:color w:val="000000"/>
                <w:kern w:val="0"/>
                <w:sz w:val="24"/>
                <w:szCs w:val="24"/>
              </w:rPr>
            </w:pPr>
            <w:r>
              <w:rPr>
                <w:rFonts w:hint="eastAsia" w:ascii="仿宋" w:hAnsi="仿宋" w:eastAsia="仿宋" w:cs="仿宋"/>
                <w:sz w:val="24"/>
                <w:szCs w:val="24"/>
                <w:lang w:val="zh-CN"/>
              </w:rPr>
              <w:t>对小型和微型企业产品的价格给予6%的扣除，用扣除后的价格参与评审</w:t>
            </w:r>
            <w:r>
              <w:rPr>
                <w:rFonts w:hint="eastAsia" w:ascii="仿宋" w:hAnsi="仿宋" w:eastAsia="仿宋" w:cs="仿宋"/>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675" w:type="dxa"/>
          </w:tcPr>
          <w:p>
            <w:pPr>
              <w:widowControl/>
              <w:jc w:val="center"/>
              <w:rPr>
                <w:rFonts w:ascii="仿宋" w:hAnsi="仿宋" w:eastAsia="仿宋" w:cs="仿宋"/>
                <w:kern w:val="0"/>
                <w:sz w:val="24"/>
                <w:szCs w:val="24"/>
              </w:rPr>
            </w:pPr>
            <w:r>
              <w:rPr>
                <w:rFonts w:ascii="仿宋" w:hAnsi="仿宋" w:eastAsia="仿宋" w:cs="仿宋"/>
                <w:kern w:val="0"/>
                <w:sz w:val="24"/>
                <w:szCs w:val="24"/>
              </w:rPr>
              <w:t>2</w:t>
            </w:r>
          </w:p>
        </w:tc>
        <w:tc>
          <w:tcPr>
            <w:tcW w:w="1311" w:type="dxa"/>
          </w:tcPr>
          <w:p>
            <w:pPr>
              <w:widowControl/>
              <w:jc w:val="center"/>
              <w:rPr>
                <w:rFonts w:ascii="仿宋" w:hAnsi="仿宋" w:eastAsia="仿宋" w:cs="仿宋"/>
                <w:kern w:val="0"/>
                <w:sz w:val="24"/>
                <w:szCs w:val="24"/>
              </w:rPr>
            </w:pPr>
            <w:r>
              <w:rPr>
                <w:rFonts w:hint="eastAsia" w:ascii="仿宋" w:hAnsi="仿宋" w:eastAsia="仿宋" w:cs="仿宋"/>
                <w:kern w:val="0"/>
                <w:sz w:val="24"/>
                <w:szCs w:val="24"/>
              </w:rPr>
              <w:t>服务团队</w:t>
            </w:r>
          </w:p>
        </w:tc>
        <w:tc>
          <w:tcPr>
            <w:tcW w:w="757" w:type="dxa"/>
          </w:tcPr>
          <w:p>
            <w:pPr>
              <w:widowControl/>
              <w:jc w:val="center"/>
              <w:rPr>
                <w:rFonts w:ascii="仿宋" w:hAnsi="仿宋" w:eastAsia="仿宋" w:cs="仿宋"/>
                <w:kern w:val="0"/>
                <w:sz w:val="24"/>
                <w:szCs w:val="24"/>
              </w:rPr>
            </w:pPr>
            <w:r>
              <w:rPr>
                <w:rFonts w:ascii="仿宋" w:hAnsi="仿宋" w:eastAsia="仿宋" w:cs="仿宋"/>
                <w:kern w:val="0"/>
                <w:sz w:val="24"/>
                <w:szCs w:val="24"/>
              </w:rPr>
              <w:t>30</w:t>
            </w:r>
          </w:p>
        </w:tc>
        <w:tc>
          <w:tcPr>
            <w:tcW w:w="5162" w:type="dxa"/>
          </w:tcPr>
          <w:p>
            <w:pPr>
              <w:widowControl/>
              <w:jc w:val="left"/>
              <w:rPr>
                <w:rFonts w:ascii="仿宋" w:hAnsi="仿宋" w:eastAsia="仿宋" w:cs="仿宋"/>
                <w:kern w:val="0"/>
                <w:sz w:val="24"/>
                <w:szCs w:val="24"/>
              </w:rPr>
            </w:pPr>
            <w:r>
              <w:rPr>
                <w:rFonts w:hint="eastAsia" w:ascii="仿宋" w:hAnsi="仿宋" w:eastAsia="仿宋" w:cs="仿宋"/>
                <w:kern w:val="0"/>
                <w:sz w:val="24"/>
                <w:szCs w:val="24"/>
              </w:rPr>
              <w:t>专业服务团队人数不低于</w:t>
            </w:r>
            <w:r>
              <w:rPr>
                <w:rFonts w:ascii="仿宋" w:hAnsi="仿宋" w:eastAsia="仿宋" w:cs="仿宋"/>
                <w:kern w:val="0"/>
                <w:sz w:val="24"/>
                <w:szCs w:val="24"/>
              </w:rPr>
              <w:t>3</w:t>
            </w:r>
            <w:r>
              <w:rPr>
                <w:rFonts w:hint="eastAsia" w:ascii="仿宋" w:hAnsi="仿宋" w:eastAsia="仿宋" w:cs="仿宋"/>
                <w:kern w:val="0"/>
                <w:sz w:val="24"/>
                <w:szCs w:val="24"/>
              </w:rPr>
              <w:t>人，达到要求得</w:t>
            </w:r>
            <w:r>
              <w:rPr>
                <w:rFonts w:ascii="仿宋" w:hAnsi="仿宋" w:eastAsia="仿宋" w:cs="仿宋"/>
                <w:kern w:val="0"/>
                <w:sz w:val="24"/>
                <w:szCs w:val="24"/>
              </w:rPr>
              <w:t>15</w:t>
            </w:r>
            <w:r>
              <w:rPr>
                <w:rFonts w:hint="eastAsia" w:ascii="仿宋" w:hAnsi="仿宋" w:eastAsia="仿宋" w:cs="仿宋"/>
                <w:kern w:val="0"/>
                <w:sz w:val="24"/>
                <w:szCs w:val="24"/>
              </w:rPr>
              <w:t>分；每增加（工作年限在</w:t>
            </w:r>
            <w:r>
              <w:rPr>
                <w:rFonts w:ascii="仿宋" w:hAnsi="仿宋" w:eastAsia="仿宋" w:cs="仿宋"/>
                <w:kern w:val="0"/>
                <w:sz w:val="24"/>
                <w:szCs w:val="24"/>
              </w:rPr>
              <w:t>10</w:t>
            </w:r>
            <w:r>
              <w:rPr>
                <w:rFonts w:hint="eastAsia" w:ascii="仿宋" w:hAnsi="仿宋" w:eastAsia="仿宋" w:cs="仿宋"/>
                <w:kern w:val="0"/>
                <w:sz w:val="24"/>
                <w:szCs w:val="24"/>
              </w:rPr>
              <w:t>年或以上的）1人得</w:t>
            </w:r>
            <w:r>
              <w:rPr>
                <w:rFonts w:ascii="仿宋" w:hAnsi="仿宋" w:eastAsia="仿宋" w:cs="仿宋"/>
                <w:kern w:val="0"/>
                <w:sz w:val="24"/>
                <w:szCs w:val="24"/>
              </w:rPr>
              <w:t>3</w:t>
            </w:r>
            <w:r>
              <w:rPr>
                <w:rFonts w:hint="eastAsia" w:ascii="仿宋" w:hAnsi="仿宋" w:eastAsia="仿宋" w:cs="仿宋"/>
                <w:kern w:val="0"/>
                <w:sz w:val="24"/>
                <w:szCs w:val="24"/>
              </w:rPr>
              <w:t>分，本项总分最多得30分；无法满足得</w:t>
            </w:r>
            <w:r>
              <w:rPr>
                <w:rFonts w:ascii="仿宋" w:hAnsi="仿宋" w:eastAsia="仿宋" w:cs="仿宋"/>
                <w:kern w:val="0"/>
                <w:sz w:val="24"/>
                <w:szCs w:val="24"/>
              </w:rPr>
              <w:t>0</w:t>
            </w:r>
            <w:r>
              <w:rPr>
                <w:rFonts w:hint="eastAsia" w:ascii="仿宋" w:hAnsi="仿宋" w:eastAsia="仿宋" w:cs="仿宋"/>
                <w:kern w:val="0"/>
                <w:sz w:val="24"/>
                <w:szCs w:val="24"/>
              </w:rPr>
              <w:t>分。</w:t>
            </w:r>
          </w:p>
        </w:tc>
        <w:tc>
          <w:tcPr>
            <w:tcW w:w="197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提供服务团队组织构架及人员清单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675" w:type="dxa"/>
          </w:tcPr>
          <w:p>
            <w:pPr>
              <w:widowControl/>
              <w:jc w:val="center"/>
              <w:rPr>
                <w:rFonts w:ascii="仿宋" w:hAnsi="仿宋" w:eastAsia="仿宋" w:cs="仿宋"/>
                <w:kern w:val="0"/>
                <w:sz w:val="24"/>
                <w:szCs w:val="24"/>
              </w:rPr>
            </w:pPr>
            <w:r>
              <w:rPr>
                <w:rFonts w:ascii="仿宋" w:hAnsi="仿宋" w:eastAsia="仿宋" w:cs="仿宋"/>
                <w:kern w:val="0"/>
                <w:sz w:val="24"/>
                <w:szCs w:val="24"/>
              </w:rPr>
              <w:t>3</w:t>
            </w:r>
          </w:p>
        </w:tc>
        <w:tc>
          <w:tcPr>
            <w:tcW w:w="1311" w:type="dxa"/>
          </w:tcPr>
          <w:p>
            <w:pPr>
              <w:widowControl/>
              <w:jc w:val="center"/>
              <w:rPr>
                <w:rFonts w:ascii="仿宋" w:hAnsi="仿宋" w:eastAsia="仿宋" w:cs="仿宋"/>
                <w:kern w:val="0"/>
                <w:sz w:val="24"/>
                <w:szCs w:val="24"/>
              </w:rPr>
            </w:pPr>
            <w:r>
              <w:rPr>
                <w:rFonts w:hint="eastAsia" w:ascii="仿宋" w:hAnsi="仿宋" w:eastAsia="仿宋" w:cs="仿宋"/>
                <w:kern w:val="0"/>
                <w:sz w:val="24"/>
                <w:szCs w:val="24"/>
              </w:rPr>
              <w:t>偿付能力</w:t>
            </w:r>
          </w:p>
        </w:tc>
        <w:tc>
          <w:tcPr>
            <w:tcW w:w="757" w:type="dxa"/>
          </w:tcPr>
          <w:p>
            <w:pPr>
              <w:widowControl/>
              <w:jc w:val="center"/>
              <w:rPr>
                <w:rFonts w:ascii="仿宋" w:hAnsi="仿宋" w:eastAsia="仿宋" w:cs="仿宋"/>
                <w:kern w:val="0"/>
                <w:sz w:val="24"/>
                <w:szCs w:val="24"/>
              </w:rPr>
            </w:pPr>
            <w:r>
              <w:rPr>
                <w:rFonts w:ascii="仿宋" w:hAnsi="仿宋" w:eastAsia="仿宋" w:cs="仿宋"/>
                <w:kern w:val="0"/>
                <w:sz w:val="24"/>
                <w:szCs w:val="24"/>
              </w:rPr>
              <w:t>20</w:t>
            </w:r>
          </w:p>
        </w:tc>
        <w:tc>
          <w:tcPr>
            <w:tcW w:w="5162" w:type="dxa"/>
          </w:tcPr>
          <w:p>
            <w:pPr>
              <w:widowControl/>
              <w:jc w:val="left"/>
              <w:rPr>
                <w:rFonts w:ascii="仿宋" w:hAnsi="仿宋" w:eastAsia="仿宋" w:cs="仿宋"/>
                <w:kern w:val="0"/>
                <w:sz w:val="24"/>
                <w:szCs w:val="24"/>
              </w:rPr>
            </w:pPr>
            <w:r>
              <w:rPr>
                <w:rFonts w:hint="eastAsia" w:ascii="仿宋" w:hAnsi="仿宋" w:eastAsia="仿宋" w:cs="仿宋"/>
                <w:kern w:val="0"/>
                <w:sz w:val="24"/>
                <w:szCs w:val="24"/>
              </w:rPr>
              <w:t>公司总部</w:t>
            </w:r>
            <w:r>
              <w:rPr>
                <w:rFonts w:ascii="仿宋" w:hAnsi="仿宋" w:eastAsia="仿宋" w:cs="仿宋"/>
                <w:kern w:val="0"/>
                <w:sz w:val="24"/>
                <w:szCs w:val="24"/>
              </w:rPr>
              <w:t>2020年末偿付能力充足度在250%及以上得20分，200%-250%的得10分，200%以下不得分</w:t>
            </w:r>
            <w:r>
              <w:rPr>
                <w:rFonts w:hint="eastAsia" w:ascii="仿宋" w:hAnsi="仿宋" w:eastAsia="仿宋" w:cs="仿宋"/>
                <w:kern w:val="0"/>
                <w:sz w:val="24"/>
                <w:szCs w:val="24"/>
              </w:rPr>
              <w:t>。</w:t>
            </w:r>
          </w:p>
        </w:tc>
        <w:tc>
          <w:tcPr>
            <w:tcW w:w="197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提供总公司</w:t>
            </w:r>
            <w:r>
              <w:rPr>
                <w:rFonts w:ascii="仿宋" w:hAnsi="仿宋" w:eastAsia="仿宋" w:cs="仿宋"/>
                <w:color w:val="000000"/>
                <w:kern w:val="0"/>
                <w:sz w:val="24"/>
                <w:szCs w:val="24"/>
              </w:rPr>
              <w:t>2020</w:t>
            </w:r>
            <w:r>
              <w:rPr>
                <w:rFonts w:hint="eastAsia" w:ascii="仿宋" w:hAnsi="仿宋" w:eastAsia="仿宋" w:cs="仿宋"/>
                <w:color w:val="000000"/>
                <w:kern w:val="0"/>
                <w:sz w:val="24"/>
                <w:szCs w:val="24"/>
              </w:rPr>
              <w:t>年偿付能力报表及审计报表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675" w:type="dxa"/>
          </w:tcPr>
          <w:p>
            <w:pPr>
              <w:widowControl/>
              <w:jc w:val="center"/>
              <w:rPr>
                <w:rFonts w:ascii="仿宋" w:hAnsi="仿宋" w:eastAsia="仿宋" w:cs="仿宋"/>
                <w:kern w:val="0"/>
                <w:sz w:val="24"/>
                <w:szCs w:val="24"/>
              </w:rPr>
            </w:pPr>
            <w:r>
              <w:rPr>
                <w:rFonts w:ascii="仿宋" w:hAnsi="仿宋" w:eastAsia="仿宋" w:cs="仿宋"/>
                <w:kern w:val="0"/>
                <w:sz w:val="24"/>
                <w:szCs w:val="24"/>
              </w:rPr>
              <w:t>4</w:t>
            </w:r>
          </w:p>
        </w:tc>
        <w:tc>
          <w:tcPr>
            <w:tcW w:w="1311" w:type="dxa"/>
            <w:noWrap/>
          </w:tcPr>
          <w:p>
            <w:pPr>
              <w:widowControl/>
              <w:jc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理赔时效</w:t>
            </w:r>
          </w:p>
        </w:tc>
        <w:tc>
          <w:tcPr>
            <w:tcW w:w="757" w:type="dxa"/>
          </w:tcPr>
          <w:p>
            <w:pPr>
              <w:widowControl/>
              <w:jc w:val="center"/>
              <w:rPr>
                <w:rFonts w:ascii="仿宋" w:hAnsi="仿宋" w:eastAsia="仿宋" w:cs="仿宋"/>
                <w:kern w:val="0"/>
                <w:sz w:val="24"/>
                <w:szCs w:val="24"/>
              </w:rPr>
            </w:pPr>
            <w:r>
              <w:rPr>
                <w:rFonts w:ascii="仿宋" w:hAnsi="仿宋" w:eastAsia="仿宋" w:cs="仿宋"/>
                <w:kern w:val="0"/>
                <w:sz w:val="24"/>
                <w:szCs w:val="24"/>
              </w:rPr>
              <w:t>10</w:t>
            </w:r>
          </w:p>
        </w:tc>
        <w:tc>
          <w:tcPr>
            <w:tcW w:w="5162" w:type="dxa"/>
          </w:tcPr>
          <w:p>
            <w:pPr>
              <w:widowControl/>
              <w:jc w:val="left"/>
              <w:rPr>
                <w:rFonts w:ascii="仿宋" w:hAnsi="仿宋" w:eastAsia="仿宋" w:cs="仿宋"/>
                <w:kern w:val="0"/>
                <w:sz w:val="24"/>
                <w:szCs w:val="24"/>
              </w:rPr>
            </w:pPr>
            <w:r>
              <w:rPr>
                <w:rFonts w:hint="eastAsia" w:ascii="仿宋" w:hAnsi="仿宋" w:eastAsia="仿宋" w:cs="仿宋"/>
                <w:kern w:val="0"/>
                <w:sz w:val="24"/>
                <w:szCs w:val="24"/>
              </w:rPr>
              <w:t>从递交完整理赔资料起：</w:t>
            </w:r>
            <w:r>
              <w:rPr>
                <w:rFonts w:ascii="仿宋" w:hAnsi="仿宋" w:eastAsia="仿宋" w:cs="仿宋"/>
                <w:kern w:val="0"/>
                <w:sz w:val="24"/>
                <w:szCs w:val="24"/>
              </w:rPr>
              <w:t>1.5000元以下（2个工作日</w:t>
            </w:r>
            <w:r>
              <w:rPr>
                <w:rFonts w:hint="eastAsia" w:ascii="仿宋" w:hAnsi="仿宋" w:eastAsia="仿宋" w:cs="仿宋"/>
                <w:kern w:val="0"/>
                <w:sz w:val="24"/>
                <w:szCs w:val="24"/>
              </w:rPr>
              <w:t>完成赔付</w:t>
            </w:r>
            <w:r>
              <w:rPr>
                <w:rFonts w:ascii="仿宋" w:hAnsi="仿宋" w:eastAsia="仿宋" w:cs="仿宋"/>
                <w:kern w:val="0"/>
                <w:sz w:val="24"/>
                <w:szCs w:val="24"/>
              </w:rPr>
              <w:t>）；2.5000元（含）—100000元（5个工作日</w:t>
            </w:r>
            <w:r>
              <w:rPr>
                <w:rFonts w:hint="eastAsia" w:ascii="仿宋" w:hAnsi="仿宋" w:eastAsia="仿宋" w:cs="仿宋"/>
                <w:kern w:val="0"/>
                <w:sz w:val="24"/>
                <w:szCs w:val="24"/>
              </w:rPr>
              <w:t>内完成赔付</w:t>
            </w:r>
            <w:r>
              <w:rPr>
                <w:rFonts w:ascii="仿宋" w:hAnsi="仿宋" w:eastAsia="仿宋" w:cs="仿宋"/>
                <w:kern w:val="0"/>
                <w:sz w:val="24"/>
                <w:szCs w:val="24"/>
              </w:rPr>
              <w:t>）；3.100000元及以上（7个工作日</w:t>
            </w:r>
            <w:r>
              <w:rPr>
                <w:rFonts w:hint="eastAsia" w:ascii="仿宋" w:hAnsi="仿宋" w:eastAsia="仿宋" w:cs="仿宋"/>
                <w:kern w:val="0"/>
                <w:sz w:val="24"/>
                <w:szCs w:val="24"/>
              </w:rPr>
              <w:t>内完成赔付</w:t>
            </w:r>
            <w:r>
              <w:rPr>
                <w:rFonts w:ascii="仿宋" w:hAnsi="仿宋" w:eastAsia="仿宋" w:cs="仿宋"/>
                <w:kern w:val="0"/>
                <w:sz w:val="24"/>
                <w:szCs w:val="24"/>
              </w:rPr>
              <w:t>）；</w:t>
            </w:r>
            <w:r>
              <w:rPr>
                <w:rFonts w:hint="eastAsia" w:ascii="仿宋" w:hAnsi="仿宋" w:eastAsia="仿宋" w:cs="仿宋"/>
                <w:kern w:val="0"/>
                <w:sz w:val="24"/>
                <w:szCs w:val="24"/>
              </w:rPr>
              <w:t>满足1项得3分，满足</w:t>
            </w:r>
            <w:r>
              <w:rPr>
                <w:rFonts w:ascii="仿宋" w:hAnsi="仿宋" w:eastAsia="仿宋" w:cs="仿宋"/>
                <w:kern w:val="0"/>
                <w:sz w:val="24"/>
                <w:szCs w:val="24"/>
              </w:rPr>
              <w:t>2</w:t>
            </w:r>
            <w:r>
              <w:rPr>
                <w:rFonts w:hint="eastAsia" w:ascii="仿宋" w:hAnsi="仿宋" w:eastAsia="仿宋" w:cs="仿宋"/>
                <w:kern w:val="0"/>
                <w:sz w:val="24"/>
                <w:szCs w:val="24"/>
              </w:rPr>
              <w:t>项得</w:t>
            </w:r>
            <w:r>
              <w:rPr>
                <w:rFonts w:ascii="仿宋" w:hAnsi="仿宋" w:eastAsia="仿宋" w:cs="仿宋"/>
                <w:kern w:val="0"/>
                <w:sz w:val="24"/>
                <w:szCs w:val="24"/>
              </w:rPr>
              <w:t>6</w:t>
            </w:r>
            <w:r>
              <w:rPr>
                <w:rFonts w:hint="eastAsia" w:ascii="仿宋" w:hAnsi="仿宋" w:eastAsia="仿宋" w:cs="仿宋"/>
                <w:kern w:val="0"/>
                <w:sz w:val="24"/>
                <w:szCs w:val="24"/>
              </w:rPr>
              <w:t>分，满足</w:t>
            </w:r>
            <w:r>
              <w:rPr>
                <w:rFonts w:ascii="仿宋" w:hAnsi="仿宋" w:eastAsia="仿宋" w:cs="仿宋"/>
                <w:kern w:val="0"/>
                <w:sz w:val="24"/>
                <w:szCs w:val="24"/>
              </w:rPr>
              <w:t>3项得</w:t>
            </w:r>
            <w:r>
              <w:rPr>
                <w:rFonts w:hint="eastAsia" w:ascii="仿宋" w:hAnsi="仿宋" w:eastAsia="仿宋" w:cs="仿宋"/>
                <w:kern w:val="0"/>
                <w:sz w:val="24"/>
                <w:szCs w:val="24"/>
              </w:rPr>
              <w:t>1</w:t>
            </w:r>
            <w:r>
              <w:rPr>
                <w:rFonts w:ascii="仿宋" w:hAnsi="仿宋" w:eastAsia="仿宋" w:cs="仿宋"/>
                <w:kern w:val="0"/>
                <w:sz w:val="24"/>
                <w:szCs w:val="24"/>
              </w:rPr>
              <w:t>0分。</w:t>
            </w:r>
          </w:p>
        </w:tc>
        <w:tc>
          <w:tcPr>
            <w:tcW w:w="197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请在投标文件明确承诺，投标文件无明确承诺不得分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675" w:type="dxa"/>
          </w:tcPr>
          <w:p>
            <w:pPr>
              <w:widowControl/>
              <w:jc w:val="center"/>
              <w:rPr>
                <w:rFonts w:ascii="仿宋" w:hAnsi="仿宋" w:eastAsia="仿宋" w:cs="仿宋"/>
                <w:kern w:val="0"/>
                <w:sz w:val="24"/>
                <w:szCs w:val="24"/>
              </w:rPr>
            </w:pPr>
            <w:r>
              <w:rPr>
                <w:rFonts w:ascii="仿宋" w:hAnsi="仿宋" w:eastAsia="仿宋" w:cs="仿宋"/>
                <w:kern w:val="0"/>
                <w:sz w:val="24"/>
                <w:szCs w:val="24"/>
              </w:rPr>
              <w:t>5</w:t>
            </w:r>
          </w:p>
        </w:tc>
        <w:tc>
          <w:tcPr>
            <w:tcW w:w="1311" w:type="dxa"/>
          </w:tcPr>
          <w:p>
            <w:pPr>
              <w:widowControl/>
              <w:jc w:val="center"/>
              <w:rPr>
                <w:rFonts w:ascii="仿宋" w:hAnsi="仿宋" w:eastAsia="仿宋" w:cs="仿宋"/>
                <w:kern w:val="0"/>
                <w:sz w:val="24"/>
                <w:szCs w:val="24"/>
              </w:rPr>
            </w:pPr>
            <w:r>
              <w:rPr>
                <w:rFonts w:hint="eastAsia" w:ascii="仿宋" w:hAnsi="仿宋" w:eastAsia="仿宋" w:cs="仿宋"/>
                <w:kern w:val="0"/>
                <w:sz w:val="24"/>
                <w:szCs w:val="24"/>
              </w:rPr>
              <w:t>增值服务</w:t>
            </w:r>
          </w:p>
        </w:tc>
        <w:tc>
          <w:tcPr>
            <w:tcW w:w="757" w:type="dxa"/>
          </w:tcPr>
          <w:p>
            <w:pPr>
              <w:widowControl/>
              <w:jc w:val="center"/>
              <w:rPr>
                <w:rFonts w:ascii="仿宋" w:hAnsi="仿宋" w:eastAsia="仿宋" w:cs="仿宋"/>
                <w:kern w:val="0"/>
                <w:sz w:val="24"/>
                <w:szCs w:val="24"/>
              </w:rPr>
            </w:pPr>
            <w:r>
              <w:rPr>
                <w:rFonts w:ascii="仿宋" w:hAnsi="仿宋" w:eastAsia="仿宋" w:cs="仿宋"/>
                <w:kern w:val="0"/>
                <w:sz w:val="24"/>
                <w:szCs w:val="24"/>
              </w:rPr>
              <w:t>30</w:t>
            </w:r>
          </w:p>
        </w:tc>
        <w:tc>
          <w:tcPr>
            <w:tcW w:w="5162" w:type="dxa"/>
          </w:tcPr>
          <w:p>
            <w:pPr>
              <w:widowControl/>
              <w:jc w:val="left"/>
              <w:rPr>
                <w:rFonts w:ascii="仿宋" w:hAnsi="仿宋" w:eastAsia="仿宋" w:cs="仿宋"/>
                <w:kern w:val="0"/>
                <w:sz w:val="24"/>
                <w:szCs w:val="24"/>
              </w:rPr>
            </w:pPr>
            <w:r>
              <w:rPr>
                <w:rFonts w:hint="eastAsia" w:ascii="仿宋" w:hAnsi="仿宋" w:eastAsia="仿宋" w:cs="仿宋"/>
                <w:kern w:val="0"/>
                <w:sz w:val="24"/>
                <w:szCs w:val="24"/>
              </w:rPr>
              <w:t>提供有别于市场的差异化的配套服务，每项得</w:t>
            </w:r>
            <w:r>
              <w:rPr>
                <w:rFonts w:ascii="仿宋" w:hAnsi="仿宋" w:eastAsia="仿宋" w:cs="仿宋"/>
                <w:kern w:val="0"/>
                <w:sz w:val="24"/>
                <w:szCs w:val="24"/>
              </w:rPr>
              <w:t>10分</w:t>
            </w:r>
            <w:r>
              <w:rPr>
                <w:rFonts w:hint="eastAsia" w:ascii="仿宋" w:hAnsi="仿宋" w:eastAsia="仿宋" w:cs="仿宋"/>
                <w:kern w:val="0"/>
                <w:sz w:val="24"/>
                <w:szCs w:val="24"/>
              </w:rPr>
              <w:t>。</w:t>
            </w:r>
            <w:r>
              <w:rPr>
                <w:rFonts w:ascii="仿宋" w:hAnsi="仿宋" w:eastAsia="仿宋" w:cs="宋体"/>
                <w:sz w:val="24"/>
                <w:szCs w:val="24"/>
              </w:rPr>
              <w:t>（1）紧急信息传递、提供24小时电话及在线咨询服务；（2）在项目组中指定服务专员为单位提供包括承保、理赔、法律等方面的全面咨询服务；（3）一票否决制度(为切实保障保险项目服务质量</w:t>
            </w:r>
            <w:r>
              <w:rPr>
                <w:rFonts w:hint="eastAsia" w:ascii="仿宋" w:hAnsi="仿宋" w:eastAsia="仿宋" w:cs="宋体"/>
                <w:sz w:val="24"/>
                <w:szCs w:val="24"/>
              </w:rPr>
              <w:t>，</w:t>
            </w:r>
            <w:r>
              <w:rPr>
                <w:rFonts w:ascii="仿宋" w:hAnsi="仿宋" w:eastAsia="仿宋" w:cs="宋体"/>
                <w:sz w:val="24"/>
                <w:szCs w:val="24"/>
              </w:rPr>
              <w:t>保证高品质服务内容的实施，</w:t>
            </w:r>
            <w:r>
              <w:rPr>
                <w:rFonts w:hint="eastAsia" w:ascii="仿宋" w:hAnsi="仿宋" w:eastAsia="仿宋" w:cs="宋体"/>
                <w:sz w:val="24"/>
                <w:szCs w:val="24"/>
              </w:rPr>
              <w:t>学校</w:t>
            </w:r>
            <w:r>
              <w:rPr>
                <w:rFonts w:ascii="仿宋" w:hAnsi="仿宋" w:eastAsia="仿宋" w:cs="宋体"/>
                <w:sz w:val="24"/>
                <w:szCs w:val="24"/>
              </w:rPr>
              <w:t>一旦提出要求更换服务工作人员，</w:t>
            </w:r>
            <w:r>
              <w:rPr>
                <w:rFonts w:hint="eastAsia" w:ascii="仿宋" w:hAnsi="仿宋" w:eastAsia="仿宋" w:cs="宋体"/>
                <w:sz w:val="24"/>
                <w:szCs w:val="24"/>
              </w:rPr>
              <w:t>保险公司</w:t>
            </w:r>
            <w:r>
              <w:rPr>
                <w:rFonts w:ascii="仿宋" w:hAnsi="仿宋" w:eastAsia="仿宋" w:cs="宋体"/>
                <w:sz w:val="24"/>
                <w:szCs w:val="24"/>
              </w:rPr>
              <w:t>承诺无需任何理由立即更换并给予相应的处罚。并对于服务工作人员给贵单位带来的经济损失，由</w:t>
            </w:r>
            <w:r>
              <w:rPr>
                <w:rFonts w:hint="eastAsia" w:ascii="仿宋" w:hAnsi="仿宋" w:eastAsia="仿宋" w:cs="宋体"/>
                <w:sz w:val="24"/>
                <w:szCs w:val="24"/>
              </w:rPr>
              <w:t>保险公司自行</w:t>
            </w:r>
            <w:r>
              <w:rPr>
                <w:rFonts w:ascii="仿宋" w:hAnsi="仿宋" w:eastAsia="仿宋" w:cs="宋体"/>
                <w:sz w:val="24"/>
                <w:szCs w:val="24"/>
              </w:rPr>
              <w:t>承担);</w:t>
            </w:r>
          </w:p>
        </w:tc>
        <w:tc>
          <w:tcPr>
            <w:tcW w:w="1974" w:type="dxa"/>
          </w:tcPr>
          <w:p>
            <w:pPr>
              <w:widowControl/>
              <w:jc w:val="left"/>
              <w:rPr>
                <w:rFonts w:ascii="仿宋" w:hAnsi="仿宋" w:eastAsia="仿宋" w:cs="仿宋"/>
                <w:color w:val="000000"/>
                <w:kern w:val="0"/>
                <w:sz w:val="24"/>
                <w:szCs w:val="24"/>
              </w:rPr>
            </w:pPr>
            <w:r>
              <w:rPr>
                <w:rFonts w:hint="eastAsia" w:ascii="仿宋" w:hAnsi="仿宋" w:eastAsia="仿宋" w:cs="仿宋"/>
                <w:color w:val="000000"/>
                <w:kern w:val="0"/>
                <w:sz w:val="24"/>
                <w:szCs w:val="24"/>
              </w:rPr>
              <w:t>请在投标文件明确承诺，投标文件无明确承诺不得分</w:t>
            </w:r>
          </w:p>
        </w:tc>
      </w:tr>
    </w:tbl>
    <w:p>
      <w:pPr>
        <w:spacing w:line="400" w:lineRule="exact"/>
        <w:rPr>
          <w:rFonts w:ascii="仿宋" w:hAnsi="仿宋" w:eastAsia="仿宋" w:cs="仿宋"/>
          <w:sz w:val="24"/>
          <w:szCs w:val="24"/>
        </w:rPr>
      </w:pPr>
    </w:p>
    <w:p>
      <w:pPr>
        <w:spacing w:line="400" w:lineRule="exact"/>
        <w:rPr>
          <w:rFonts w:ascii="仿宋" w:hAnsi="仿宋" w:eastAsia="仿宋" w:cs="仿宋"/>
          <w:sz w:val="24"/>
          <w:szCs w:val="24"/>
        </w:rPr>
      </w:pPr>
      <w:r>
        <w:rPr>
          <w:rFonts w:hint="eastAsia" w:ascii="仿宋" w:hAnsi="仿宋" w:eastAsia="仿宋" w:cs="仿宋"/>
          <w:sz w:val="24"/>
          <w:szCs w:val="24"/>
        </w:rPr>
        <w:t>注：</w:t>
      </w:r>
      <w:r>
        <w:rPr>
          <w:rFonts w:hint="eastAsia" w:ascii="仿宋" w:hAnsi="仿宋" w:eastAsia="仿宋" w:cs="仿宋"/>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注</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eq \o\ac(○,3)</w:instrText>
      </w:r>
      <w:r>
        <w:rPr>
          <w:rFonts w:hint="eastAsia" w:ascii="仿宋" w:hAnsi="仿宋" w:eastAsia="仿宋" w:cs="仿宋"/>
          <w:sz w:val="21"/>
          <w:szCs w:val="21"/>
        </w:rPr>
        <w:fldChar w:fldCharType="end"/>
      </w:r>
      <w:r>
        <w:rPr>
          <w:rFonts w:hint="eastAsia" w:ascii="仿宋" w:hAnsi="仿宋" w:eastAsia="仿宋" w:cs="仿宋"/>
          <w:sz w:val="24"/>
          <w:szCs w:val="24"/>
        </w:rPr>
        <w:t>：关于小微企业报价扣除比例说明</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1.小微企业报价给予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本项目</w:t>
      </w:r>
      <w:r>
        <w:rPr>
          <w:rFonts w:ascii="仿宋" w:hAnsi="仿宋" w:eastAsia="仿宋" w:cs="仿宋"/>
          <w:sz w:val="24"/>
          <w:szCs w:val="24"/>
        </w:rPr>
        <w:t>对小微型企业给予</w:t>
      </w:r>
      <w:r>
        <w:rPr>
          <w:rFonts w:hint="eastAsia" w:ascii="仿宋" w:hAnsi="仿宋" w:eastAsia="仿宋" w:cs="仿宋"/>
          <w:sz w:val="24"/>
          <w:szCs w:val="24"/>
          <w:u w:val="single"/>
        </w:rPr>
        <w:t>6</w:t>
      </w:r>
      <w:r>
        <w:rPr>
          <w:rFonts w:ascii="仿宋" w:hAnsi="仿宋" w:eastAsia="仿宋" w:cs="仿宋"/>
          <w:sz w:val="24"/>
          <w:szCs w:val="24"/>
        </w:rPr>
        <w:t>%的扣除</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p>
      <w:pPr>
        <w:spacing w:line="400" w:lineRule="exact"/>
        <w:outlineLvl w:val="1"/>
        <w:rPr>
          <w:rFonts w:ascii="仿宋" w:hAnsi="仿宋" w:eastAsia="仿宋" w:cs="仿宋"/>
          <w:b/>
          <w:bCs/>
          <w:sz w:val="24"/>
          <w:szCs w:val="24"/>
        </w:rPr>
      </w:pPr>
      <w:bookmarkStart w:id="107" w:name="_Toc86778446"/>
      <w:bookmarkStart w:id="108" w:name="_Toc88838452"/>
      <w:r>
        <w:rPr>
          <w:rFonts w:hint="eastAsia" w:ascii="仿宋" w:hAnsi="仿宋" w:eastAsia="仿宋" w:cs="仿宋"/>
          <w:b/>
          <w:bCs/>
          <w:sz w:val="24"/>
          <w:szCs w:val="24"/>
        </w:rPr>
        <w:t>三、无效响应</w:t>
      </w:r>
      <w:bookmarkEnd w:id="107"/>
      <w:bookmarkEnd w:id="108"/>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响应人发生以下条款情况之一者，视为无效响应，其响应文件将被拒绝：</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（一）响应人不符合规定的基本资格条件或特定资格条件的；</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（二）响应人的法定代表人或其授权代表未参加磋商；</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（三）响应人未按照竞争性磋商文件的要求缴纳磋商保证金；</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（四）响应人所提交的响应文件不按第七篇“响应文件编制要求”规定签字、盖章；</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（五）法定代表人为同一个人的两个及两个以上法人，母公司、全资子公司及其控股公司，在同一分包采购中同时参与磋商；</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（六）响应人的服务期、质量保证期及磋商有效期不满足竞争性磋商文件要求的；</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（七）响应人响应文件内容有与国家现行法律法规相违背的内容，或附有采购人无法接受的条件；</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（八）资格性审查中要求原件备查而未提供的。</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（九）响应文件中的报价或最终总报价超最高限价。</w:t>
      </w:r>
    </w:p>
    <w:p>
      <w:pPr>
        <w:spacing w:line="400" w:lineRule="exact"/>
        <w:outlineLvl w:val="1"/>
        <w:rPr>
          <w:rFonts w:ascii="仿宋" w:hAnsi="仿宋" w:eastAsia="仿宋" w:cs="仿宋"/>
          <w:b/>
          <w:bCs/>
          <w:sz w:val="24"/>
          <w:szCs w:val="24"/>
        </w:rPr>
      </w:pPr>
      <w:bookmarkStart w:id="109" w:name="_Toc88838453"/>
      <w:bookmarkStart w:id="110" w:name="_Toc86778447"/>
      <w:r>
        <w:rPr>
          <w:rFonts w:hint="eastAsia" w:ascii="仿宋" w:hAnsi="仿宋" w:eastAsia="仿宋" w:cs="仿宋"/>
          <w:b/>
          <w:bCs/>
          <w:sz w:val="24"/>
          <w:szCs w:val="24"/>
        </w:rPr>
        <w:t>四、采购终止</w:t>
      </w:r>
      <w:bookmarkEnd w:id="109"/>
      <w:bookmarkEnd w:id="110"/>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出现下列情形之一的，采购人应当终止竞争性磋商采购活动，发布项目终止公告并说明原因，重新开展采购活动：</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（一）因情况变化，不再符合规定的竞争性磋商采购方式适用情形的；</w:t>
      </w:r>
    </w:p>
    <w:p>
      <w:pPr>
        <w:snapToGrid w:val="0"/>
        <w:spacing w:line="400" w:lineRule="exact"/>
        <w:ind w:firstLine="465"/>
        <w:rPr>
          <w:rFonts w:ascii="仿宋" w:hAnsi="仿宋" w:eastAsia="仿宋" w:cs="仿宋"/>
          <w:sz w:val="24"/>
          <w:szCs w:val="24"/>
        </w:rPr>
      </w:pPr>
      <w:r>
        <w:rPr>
          <w:rFonts w:hint="eastAsia" w:ascii="仿宋" w:hAnsi="仿宋" w:eastAsia="仿宋" w:cs="仿宋"/>
          <w:sz w:val="24"/>
          <w:szCs w:val="24"/>
        </w:rPr>
        <w:t>（二）出现影响采购公正的违法、违规行为的；</w:t>
      </w:r>
    </w:p>
    <w:p>
      <w:pPr>
        <w:widowControl/>
        <w:ind w:firstLine="480" w:firstLineChars="200"/>
        <w:jc w:val="left"/>
        <w:rPr>
          <w:rFonts w:ascii="仿宋" w:hAnsi="仿宋" w:eastAsia="仿宋" w:cs="仿宋"/>
          <w:b/>
          <w:bCs/>
          <w:color w:val="FF0000"/>
          <w:sz w:val="24"/>
          <w:szCs w:val="24"/>
        </w:rPr>
      </w:pPr>
      <w:r>
        <w:rPr>
          <w:rFonts w:hint="eastAsia" w:ascii="仿宋" w:hAnsi="仿宋" w:eastAsia="仿宋" w:cs="仿宋"/>
          <w:sz w:val="24"/>
          <w:szCs w:val="24"/>
        </w:rPr>
        <w:t>（三）在采购过程中符合要求的供应商或者报价未超过采购预算的供应商不足3家的，但《政府采购竞争性磋商采购方式管理暂行办法》第二十一条第三款规定的情况。</w:t>
      </w:r>
      <w:r>
        <w:rPr>
          <w:rFonts w:ascii="仿宋" w:hAnsi="仿宋" w:eastAsia="仿宋" w:cs="仿宋"/>
          <w:b/>
          <w:bCs/>
          <w:color w:val="FF0000"/>
          <w:sz w:val="24"/>
          <w:szCs w:val="24"/>
        </w:rPr>
        <w:br w:type="page"/>
      </w:r>
    </w:p>
    <w:bookmarkEnd w:id="0"/>
    <w:p>
      <w:pPr>
        <w:keepNext/>
        <w:tabs>
          <w:tab w:val="left" w:pos="3360"/>
        </w:tabs>
        <w:snapToGrid w:val="0"/>
        <w:spacing w:line="360" w:lineRule="auto"/>
        <w:ind w:firstLine="2530" w:firstLineChars="700"/>
        <w:outlineLvl w:val="0"/>
        <w:rPr>
          <w:rFonts w:ascii="仿宋" w:hAnsi="仿宋" w:eastAsia="仿宋" w:cs="仿宋"/>
          <w:b/>
          <w:sz w:val="36"/>
          <w:szCs w:val="30"/>
        </w:rPr>
      </w:pPr>
      <w:bookmarkStart w:id="111" w:name="_Toc88838454"/>
      <w:r>
        <w:rPr>
          <w:rFonts w:hint="eastAsia" w:ascii="仿宋" w:hAnsi="仿宋" w:eastAsia="仿宋" w:cs="仿宋"/>
          <w:b/>
          <w:sz w:val="36"/>
          <w:szCs w:val="30"/>
        </w:rPr>
        <w:t>第六篇  合同主要条款</w:t>
      </w:r>
      <w:bookmarkEnd w:id="111"/>
    </w:p>
    <w:p>
      <w:pPr>
        <w:rPr>
          <w:rFonts w:ascii="仿宋" w:hAnsi="仿宋" w:eastAsia="仿宋"/>
          <w:b/>
          <w:bCs/>
          <w:color w:val="000000"/>
          <w:sz w:val="24"/>
        </w:rPr>
      </w:pPr>
      <w:bookmarkStart w:id="112" w:name="_Toc488067991"/>
      <w:bookmarkStart w:id="113" w:name="_Toc488067898"/>
      <w:r>
        <w:rPr>
          <w:rFonts w:hint="eastAsia" w:ascii="仿宋" w:hAnsi="仿宋" w:eastAsia="仿宋"/>
          <w:b/>
          <w:bCs/>
          <w:color w:val="000000"/>
          <w:sz w:val="24"/>
        </w:rPr>
        <w:t>一、定义</w:t>
      </w:r>
      <w:bookmarkEnd w:id="112"/>
      <w:bookmarkEnd w:id="113"/>
    </w:p>
    <w:p>
      <w:pPr>
        <w:snapToGrid w:val="0"/>
        <w:spacing w:line="380" w:lineRule="exact"/>
        <w:ind w:firstLine="600" w:firstLineChars="250"/>
        <w:rPr>
          <w:rFonts w:ascii="仿宋" w:hAnsi="仿宋" w:eastAsia="仿宋"/>
          <w:bCs/>
          <w:color w:val="000000"/>
          <w:sz w:val="24"/>
        </w:rPr>
      </w:pPr>
      <w:bookmarkStart w:id="114" w:name="_Toc488067899"/>
      <w:bookmarkStart w:id="115" w:name="_Toc488067992"/>
      <w:r>
        <w:rPr>
          <w:rFonts w:hint="eastAsia" w:ascii="仿宋" w:hAnsi="仿宋" w:eastAsia="仿宋"/>
          <w:bCs/>
          <w:color w:val="000000"/>
          <w:sz w:val="24"/>
        </w:rPr>
        <w:t>1、甲方（需方）即采购人，是指通过竞争性磋商采购，接受合同货物及服务的各级国家机关、事业单位和团体组织。</w:t>
      </w:r>
      <w:bookmarkEnd w:id="114"/>
      <w:bookmarkEnd w:id="115"/>
    </w:p>
    <w:p>
      <w:pPr>
        <w:snapToGrid w:val="0"/>
        <w:spacing w:line="380" w:lineRule="exact"/>
        <w:ind w:firstLine="600" w:firstLineChars="250"/>
        <w:rPr>
          <w:rFonts w:ascii="仿宋" w:hAnsi="仿宋" w:eastAsia="仿宋"/>
          <w:bCs/>
          <w:color w:val="000000"/>
          <w:sz w:val="24"/>
        </w:rPr>
      </w:pPr>
      <w:bookmarkStart w:id="116" w:name="_Toc488067993"/>
      <w:bookmarkStart w:id="117" w:name="_Toc488067900"/>
      <w:r>
        <w:rPr>
          <w:rFonts w:hint="eastAsia" w:ascii="仿宋" w:hAnsi="仿宋" w:eastAsia="仿宋"/>
          <w:bCs/>
          <w:color w:val="000000"/>
          <w:sz w:val="24"/>
        </w:rPr>
        <w:t>2、乙方（供方）即成交供应商，是指成交后提供合同货物和服务的自然人、法人及其他组织。</w:t>
      </w:r>
      <w:bookmarkEnd w:id="116"/>
      <w:bookmarkEnd w:id="117"/>
    </w:p>
    <w:p>
      <w:pPr>
        <w:snapToGrid w:val="0"/>
        <w:spacing w:line="380" w:lineRule="exact"/>
        <w:ind w:firstLine="600" w:firstLineChars="250"/>
        <w:rPr>
          <w:rFonts w:ascii="仿宋" w:hAnsi="仿宋" w:eastAsia="仿宋"/>
          <w:bCs/>
          <w:color w:val="000000"/>
          <w:sz w:val="24"/>
        </w:rPr>
      </w:pPr>
      <w:bookmarkStart w:id="118" w:name="_Toc488067994"/>
      <w:bookmarkStart w:id="119" w:name="_Toc488067901"/>
      <w:r>
        <w:rPr>
          <w:rFonts w:hint="eastAsia" w:ascii="仿宋" w:hAnsi="仿宋" w:eastAsia="仿宋"/>
          <w:bCs/>
          <w:color w:val="000000"/>
          <w:sz w:val="24"/>
        </w:rPr>
        <w:t>3、合同是指由甲乙双方按照竞争性磋商文件和响应文件的实质性内容，通过协商一致达成的书面协议。</w:t>
      </w:r>
      <w:bookmarkEnd w:id="118"/>
      <w:bookmarkEnd w:id="119"/>
    </w:p>
    <w:p>
      <w:pPr>
        <w:snapToGrid w:val="0"/>
        <w:spacing w:line="380" w:lineRule="exact"/>
        <w:ind w:firstLine="600" w:firstLineChars="250"/>
        <w:rPr>
          <w:rFonts w:ascii="仿宋" w:hAnsi="仿宋" w:eastAsia="仿宋"/>
          <w:bCs/>
          <w:color w:val="000000"/>
          <w:sz w:val="24"/>
        </w:rPr>
      </w:pPr>
      <w:bookmarkStart w:id="120" w:name="_Toc488067902"/>
      <w:bookmarkStart w:id="121" w:name="_Toc488067995"/>
      <w:r>
        <w:rPr>
          <w:rFonts w:hint="eastAsia" w:ascii="仿宋" w:hAnsi="仿宋" w:eastAsia="仿宋"/>
          <w:bCs/>
          <w:color w:val="000000"/>
          <w:sz w:val="24"/>
        </w:rPr>
        <w:t>4、合同价格指以成交价格为依据，在供方全面履行合同义务后，需方（或财政部门）应支付给供方的金额。</w:t>
      </w:r>
      <w:bookmarkEnd w:id="120"/>
      <w:bookmarkEnd w:id="121"/>
    </w:p>
    <w:p>
      <w:pPr>
        <w:snapToGrid w:val="0"/>
        <w:spacing w:line="380" w:lineRule="exact"/>
        <w:ind w:firstLine="600" w:firstLineChars="250"/>
        <w:rPr>
          <w:rFonts w:ascii="仿宋" w:hAnsi="仿宋" w:eastAsia="仿宋"/>
          <w:bCs/>
          <w:color w:val="000000"/>
          <w:sz w:val="24"/>
        </w:rPr>
      </w:pPr>
      <w:bookmarkStart w:id="122" w:name="_Toc488067903"/>
      <w:bookmarkStart w:id="123" w:name="_Toc488067996"/>
      <w:r>
        <w:rPr>
          <w:rFonts w:hint="eastAsia" w:ascii="仿宋" w:hAnsi="仿宋" w:eastAsia="仿宋"/>
          <w:bCs/>
          <w:color w:val="000000"/>
          <w:sz w:val="24"/>
        </w:rPr>
        <w:t>5、技术资料是指合同货物及其相关的设计、制造、监造、检验、验收等文件（包括图纸、各种文字说明、标准）。</w:t>
      </w:r>
      <w:bookmarkEnd w:id="122"/>
      <w:bookmarkEnd w:id="123"/>
    </w:p>
    <w:p>
      <w:pPr>
        <w:rPr>
          <w:rFonts w:ascii="仿宋" w:hAnsi="仿宋" w:eastAsia="仿宋"/>
          <w:b/>
          <w:bCs/>
          <w:sz w:val="24"/>
        </w:rPr>
      </w:pPr>
      <w:bookmarkStart w:id="124" w:name="_Toc488067997"/>
      <w:bookmarkStart w:id="125" w:name="_Toc488067904"/>
      <w:r>
        <w:rPr>
          <w:rFonts w:hint="eastAsia" w:ascii="仿宋" w:hAnsi="仿宋" w:eastAsia="仿宋"/>
          <w:b/>
          <w:bCs/>
          <w:color w:val="000000"/>
          <w:sz w:val="24"/>
        </w:rPr>
        <w:t>二、货物内容（合同内</w:t>
      </w:r>
      <w:r>
        <w:rPr>
          <w:rFonts w:hint="eastAsia" w:ascii="仿宋" w:hAnsi="仿宋" w:eastAsia="仿宋"/>
          <w:b/>
          <w:bCs/>
          <w:sz w:val="24"/>
        </w:rPr>
        <w:t>容）</w:t>
      </w:r>
      <w:bookmarkEnd w:id="124"/>
      <w:bookmarkEnd w:id="125"/>
    </w:p>
    <w:p>
      <w:pPr>
        <w:snapToGrid w:val="0"/>
        <w:spacing w:line="380" w:lineRule="exact"/>
        <w:ind w:firstLine="600" w:firstLineChars="250"/>
        <w:rPr>
          <w:rFonts w:ascii="仿宋" w:hAnsi="仿宋" w:eastAsia="仿宋"/>
          <w:bCs/>
          <w:sz w:val="24"/>
        </w:rPr>
      </w:pPr>
      <w:bookmarkStart w:id="126" w:name="_Toc488067905"/>
      <w:bookmarkStart w:id="127" w:name="_Toc488067998"/>
      <w:r>
        <w:rPr>
          <w:rFonts w:hint="eastAsia" w:ascii="仿宋" w:hAnsi="仿宋" w:eastAsia="仿宋"/>
          <w:bCs/>
          <w:sz w:val="24"/>
        </w:rPr>
        <w:t>合同包括以下内容：货物名称、型号规格、技术参数、数量（单位）、备注等内容。</w:t>
      </w:r>
      <w:bookmarkEnd w:id="126"/>
      <w:bookmarkEnd w:id="127"/>
    </w:p>
    <w:p>
      <w:pPr>
        <w:rPr>
          <w:rFonts w:ascii="仿宋" w:hAnsi="仿宋" w:eastAsia="仿宋"/>
          <w:b/>
          <w:bCs/>
          <w:sz w:val="24"/>
        </w:rPr>
      </w:pPr>
      <w:bookmarkStart w:id="128" w:name="_Toc488067999"/>
      <w:bookmarkStart w:id="129" w:name="_Toc488067906"/>
      <w:r>
        <w:rPr>
          <w:rFonts w:hint="eastAsia" w:ascii="仿宋" w:hAnsi="仿宋" w:eastAsia="仿宋"/>
          <w:b/>
          <w:bCs/>
          <w:sz w:val="24"/>
        </w:rPr>
        <w:t>三、合同价格</w:t>
      </w:r>
      <w:bookmarkEnd w:id="128"/>
      <w:bookmarkEnd w:id="129"/>
    </w:p>
    <w:p>
      <w:pPr>
        <w:snapToGrid w:val="0"/>
        <w:spacing w:line="380" w:lineRule="exact"/>
        <w:ind w:firstLine="600" w:firstLineChars="250"/>
        <w:rPr>
          <w:rFonts w:ascii="仿宋" w:hAnsi="仿宋" w:eastAsia="仿宋"/>
          <w:bCs/>
          <w:sz w:val="24"/>
        </w:rPr>
      </w:pPr>
      <w:bookmarkStart w:id="130" w:name="_Toc488067907"/>
      <w:bookmarkStart w:id="131" w:name="_Toc488068000"/>
      <w:r>
        <w:rPr>
          <w:rFonts w:hint="eastAsia" w:ascii="仿宋" w:hAnsi="仿宋" w:eastAsia="仿宋"/>
          <w:bCs/>
          <w:sz w:val="24"/>
        </w:rPr>
        <w:t>1、合同价格即合同总价。</w:t>
      </w:r>
      <w:bookmarkEnd w:id="130"/>
      <w:bookmarkEnd w:id="131"/>
    </w:p>
    <w:p>
      <w:pPr>
        <w:snapToGrid w:val="0"/>
        <w:spacing w:line="380" w:lineRule="exact"/>
        <w:ind w:firstLine="600" w:firstLineChars="250"/>
        <w:rPr>
          <w:rFonts w:ascii="仿宋" w:hAnsi="仿宋" w:eastAsia="仿宋"/>
          <w:bCs/>
          <w:sz w:val="24"/>
        </w:rPr>
      </w:pPr>
      <w:bookmarkStart w:id="132" w:name="_Toc488067908"/>
      <w:bookmarkStart w:id="133" w:name="_Toc488068001"/>
      <w:r>
        <w:rPr>
          <w:rFonts w:hint="eastAsia" w:ascii="仿宋" w:hAnsi="仿宋" w:eastAsia="仿宋"/>
          <w:bCs/>
          <w:sz w:val="24"/>
        </w:rPr>
        <w:t>2、合同价格包括合同货物、技术资料、合同货物的税费、运杂费、保险费、包装费、资料下载费、装卸费及与货物有关的供方应纳的税费，所有税费由乙方负担。</w:t>
      </w:r>
      <w:bookmarkEnd w:id="132"/>
      <w:bookmarkEnd w:id="133"/>
    </w:p>
    <w:p>
      <w:pPr>
        <w:snapToGrid w:val="0"/>
        <w:spacing w:line="380" w:lineRule="exact"/>
        <w:ind w:firstLine="600" w:firstLineChars="250"/>
        <w:rPr>
          <w:rFonts w:ascii="仿宋" w:hAnsi="仿宋" w:eastAsia="仿宋"/>
          <w:bCs/>
          <w:sz w:val="24"/>
        </w:rPr>
      </w:pPr>
      <w:bookmarkStart w:id="134" w:name="_Toc488067909"/>
      <w:bookmarkStart w:id="135" w:name="_Toc488068002"/>
      <w:r>
        <w:rPr>
          <w:rFonts w:hint="eastAsia" w:ascii="仿宋" w:hAnsi="仿宋" w:eastAsia="仿宋"/>
          <w:bCs/>
          <w:sz w:val="24"/>
        </w:rPr>
        <w:t>3、合同货物单价为不变价。</w:t>
      </w:r>
      <w:bookmarkEnd w:id="134"/>
      <w:bookmarkEnd w:id="135"/>
    </w:p>
    <w:p>
      <w:pPr>
        <w:rPr>
          <w:rFonts w:ascii="仿宋" w:hAnsi="仿宋" w:eastAsia="仿宋"/>
          <w:b/>
          <w:bCs/>
          <w:color w:val="000000"/>
          <w:sz w:val="24"/>
        </w:rPr>
      </w:pPr>
      <w:bookmarkStart w:id="136" w:name="_Toc488068003"/>
      <w:bookmarkStart w:id="137" w:name="_Toc488067910"/>
      <w:r>
        <w:rPr>
          <w:rFonts w:hint="eastAsia" w:ascii="仿宋" w:hAnsi="仿宋" w:eastAsia="仿宋"/>
          <w:b/>
          <w:bCs/>
          <w:color w:val="000000"/>
          <w:sz w:val="24"/>
        </w:rPr>
        <w:t>四、转包或分包</w:t>
      </w:r>
      <w:bookmarkEnd w:id="136"/>
      <w:bookmarkEnd w:id="137"/>
    </w:p>
    <w:p>
      <w:pPr>
        <w:snapToGrid w:val="0"/>
        <w:spacing w:line="380" w:lineRule="exact"/>
        <w:ind w:firstLine="600" w:firstLineChars="250"/>
        <w:rPr>
          <w:rFonts w:ascii="仿宋" w:hAnsi="仿宋" w:eastAsia="仿宋"/>
          <w:bCs/>
          <w:color w:val="000000"/>
          <w:sz w:val="24"/>
        </w:rPr>
      </w:pPr>
      <w:bookmarkStart w:id="138" w:name="_Toc488068004"/>
      <w:bookmarkStart w:id="139" w:name="_Toc488067911"/>
      <w:r>
        <w:rPr>
          <w:rFonts w:hint="eastAsia" w:ascii="仿宋" w:hAnsi="仿宋" w:eastAsia="仿宋"/>
          <w:bCs/>
          <w:color w:val="000000"/>
          <w:sz w:val="24"/>
        </w:rPr>
        <w:t>1、本合同范围的货物，应由乙方直接供应，不得转让他人供应；</w:t>
      </w:r>
      <w:bookmarkEnd w:id="138"/>
      <w:bookmarkEnd w:id="139"/>
    </w:p>
    <w:p>
      <w:pPr>
        <w:snapToGrid w:val="0"/>
        <w:spacing w:line="380" w:lineRule="exact"/>
        <w:ind w:firstLine="600" w:firstLineChars="250"/>
        <w:rPr>
          <w:rFonts w:ascii="仿宋" w:hAnsi="仿宋" w:eastAsia="仿宋"/>
          <w:bCs/>
          <w:color w:val="000000"/>
          <w:sz w:val="24"/>
        </w:rPr>
      </w:pPr>
      <w:bookmarkStart w:id="140" w:name="_Toc488067912"/>
      <w:bookmarkStart w:id="141" w:name="_Toc488068005"/>
      <w:r>
        <w:rPr>
          <w:rFonts w:hint="eastAsia" w:ascii="仿宋" w:hAnsi="仿宋" w:eastAsia="仿宋"/>
          <w:bCs/>
          <w:color w:val="000000"/>
          <w:sz w:val="24"/>
        </w:rPr>
        <w:t>2、非经甲方书面同意，乙方不得将本合同范围的货物全部或部分分包给他人供应；</w:t>
      </w:r>
      <w:bookmarkEnd w:id="140"/>
      <w:bookmarkEnd w:id="141"/>
    </w:p>
    <w:p>
      <w:pPr>
        <w:snapToGrid w:val="0"/>
        <w:spacing w:line="380" w:lineRule="exact"/>
        <w:ind w:firstLine="600" w:firstLineChars="250"/>
        <w:rPr>
          <w:rFonts w:ascii="仿宋" w:hAnsi="仿宋" w:eastAsia="仿宋"/>
          <w:bCs/>
          <w:color w:val="000000"/>
          <w:sz w:val="24"/>
        </w:rPr>
      </w:pPr>
      <w:bookmarkStart w:id="142" w:name="_Toc488068006"/>
      <w:bookmarkStart w:id="143" w:name="_Toc488067913"/>
      <w:r>
        <w:rPr>
          <w:rFonts w:hint="eastAsia" w:ascii="仿宋" w:hAnsi="仿宋" w:eastAsia="仿宋"/>
          <w:bCs/>
          <w:color w:val="000000"/>
          <w:sz w:val="24"/>
        </w:rPr>
        <w:t>3、如有转让和未经甲方同意的分包行为，甲方有权解除合同，没收履约保证金并追究乙方的违约责任。</w:t>
      </w:r>
      <w:bookmarkEnd w:id="142"/>
      <w:bookmarkEnd w:id="143"/>
    </w:p>
    <w:p>
      <w:pPr>
        <w:rPr>
          <w:rFonts w:ascii="仿宋" w:hAnsi="仿宋" w:eastAsia="仿宋"/>
          <w:b/>
          <w:bCs/>
          <w:color w:val="000000"/>
          <w:sz w:val="24"/>
        </w:rPr>
      </w:pPr>
      <w:r>
        <w:rPr>
          <w:rFonts w:hint="eastAsia" w:ascii="仿宋" w:hAnsi="仿宋" w:eastAsia="仿宋"/>
          <w:b/>
          <w:bCs/>
          <w:color w:val="000000"/>
          <w:sz w:val="24"/>
        </w:rPr>
        <w:t>五、质量保证及售后服务</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1、乙方应按竞争性磋商文件规定的货物性能、技术要求、质量标准向甲方提供未经使用的全新产品。</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2、乙方提供的货物在质保期内因货物本身的质量问题发生故障，乙方应负责免费更换。对达不到技术要求者，根据实际情况，经双方协商，可按以下办法处理：</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(1)更换：由乙方承担所发生的全部费用。</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(2)贬值处理：由甲乙双方合议定价。</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(3)退货处理：乙方应退还甲方支付的合同款，同时应承担该货物的直接费用（运输、保险、检验、货款利息及银行手续费等）。</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(4) 如在使用过程中发生质量问题，乙方应同本项目“第三篇  采购商务需求”对质量保证及售后服务内容的约定。</w:t>
      </w:r>
    </w:p>
    <w:p>
      <w:pPr>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(5)在质保期内，乙方应对货物出现的质量及安全问题负责处理解决并承担一切费用。</w:t>
      </w:r>
    </w:p>
    <w:p>
      <w:pPr>
        <w:rPr>
          <w:rFonts w:ascii="仿宋" w:hAnsi="仿宋" w:eastAsia="仿宋"/>
          <w:b/>
          <w:bCs/>
          <w:color w:val="000000"/>
          <w:sz w:val="24"/>
        </w:rPr>
      </w:pPr>
      <w:r>
        <w:rPr>
          <w:rFonts w:hint="eastAsia" w:ascii="仿宋" w:hAnsi="仿宋" w:eastAsia="仿宋"/>
          <w:b/>
          <w:bCs/>
          <w:color w:val="000000"/>
          <w:sz w:val="24"/>
        </w:rPr>
        <w:t>六、付款</w:t>
      </w:r>
    </w:p>
    <w:p>
      <w:pPr>
        <w:adjustRightInd w:val="0"/>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1、本合同使用货币币制如未作特别说明均为人民币。</w:t>
      </w:r>
    </w:p>
    <w:p>
      <w:pPr>
        <w:adjustRightInd w:val="0"/>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2、付款方式：银行转账、现金支票。</w:t>
      </w:r>
    </w:p>
    <w:p>
      <w:pPr>
        <w:adjustRightInd w:val="0"/>
        <w:snapToGrid w:val="0"/>
        <w:spacing w:line="380" w:lineRule="exact"/>
        <w:ind w:firstLine="600" w:firstLineChars="250"/>
        <w:rPr>
          <w:rFonts w:ascii="仿宋" w:hAnsi="仿宋" w:eastAsia="仿宋"/>
          <w:bCs/>
          <w:color w:val="000000"/>
          <w:sz w:val="24"/>
        </w:rPr>
      </w:pPr>
      <w:r>
        <w:rPr>
          <w:rFonts w:hint="eastAsia" w:ascii="仿宋" w:hAnsi="仿宋" w:eastAsia="仿宋"/>
          <w:bCs/>
          <w:color w:val="000000"/>
          <w:sz w:val="24"/>
        </w:rPr>
        <w:t>3、付款方法：同本项目“第三篇 第四条”中关于付款方式的约定。</w:t>
      </w:r>
    </w:p>
    <w:p>
      <w:pPr>
        <w:rPr>
          <w:rFonts w:ascii="仿宋" w:hAnsi="仿宋" w:eastAsia="仿宋"/>
          <w:b/>
          <w:bCs/>
          <w:color w:val="000000"/>
          <w:sz w:val="24"/>
        </w:rPr>
      </w:pPr>
      <w:r>
        <w:rPr>
          <w:rFonts w:hint="eastAsia" w:ascii="仿宋" w:hAnsi="仿宋" w:eastAsia="仿宋"/>
          <w:b/>
          <w:bCs/>
          <w:color w:val="000000"/>
          <w:sz w:val="24"/>
        </w:rPr>
        <w:t>七、检查验收</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1、供方应随货物提供合格证和质量证明文件，如是国外进口的货物还须提供入关证明。</w:t>
      </w:r>
    </w:p>
    <w:p>
      <w:pPr>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2、货物验收</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供方所交货物的各种质量指标不得低于供方提供样品的质量指标（无样品时按供方响应文件中所提供的“技术文件”执行），售后服务质量要求按照竞争性磋商文件和响应文件的内容执行。</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3、货物验收报告应由需方、供方经办人签字，并加盖双方公章，以此作为支付凭据。</w:t>
      </w:r>
    </w:p>
    <w:p>
      <w:pPr>
        <w:rPr>
          <w:rFonts w:ascii="仿宋" w:hAnsi="仿宋" w:eastAsia="仿宋"/>
          <w:b/>
          <w:bCs/>
          <w:color w:val="000000"/>
          <w:sz w:val="24"/>
        </w:rPr>
      </w:pPr>
      <w:r>
        <w:rPr>
          <w:rFonts w:hint="eastAsia" w:ascii="仿宋" w:hAnsi="仿宋" w:eastAsia="仿宋"/>
          <w:b/>
          <w:bCs/>
          <w:color w:val="000000"/>
          <w:sz w:val="24"/>
        </w:rPr>
        <w:t>八、索赔</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供方对货物与合同要求不符负有责任，并且需方已于规定交货内和质量保证期内提出索赔，供方应按需方同意的下述一种或多种方法解决索赔事宜。</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2、根据货物的疵劣和受损程度以及需方遭受损失的金额，经双方同意降低货物价格。</w:t>
      </w:r>
    </w:p>
    <w:p>
      <w:pPr>
        <w:rPr>
          <w:rFonts w:ascii="仿宋" w:hAnsi="仿宋" w:eastAsia="仿宋"/>
          <w:b/>
          <w:bCs/>
          <w:color w:val="000000"/>
          <w:sz w:val="24"/>
        </w:rPr>
      </w:pPr>
      <w:r>
        <w:rPr>
          <w:rFonts w:hint="eastAsia" w:ascii="仿宋" w:hAnsi="仿宋" w:eastAsia="仿宋"/>
          <w:b/>
          <w:bCs/>
          <w:color w:val="000000"/>
          <w:sz w:val="24"/>
        </w:rPr>
        <w:t>九、知识产权</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1、甲方在中华人民共和国境内使用乙方提供的货物及服务时免受第三方提出的侵犯其专利权或其它知识产权的起诉。如果第三方提出侵权指控，乙方承担由此而引起的一切法律责任和费用。</w:t>
      </w:r>
    </w:p>
    <w:p>
      <w:pPr>
        <w:adjustRightInd w:val="0"/>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2、若涉及软件开发等服务类项目知识产权的，知识产权归采购人所有。</w:t>
      </w:r>
    </w:p>
    <w:p>
      <w:pPr>
        <w:rPr>
          <w:rFonts w:ascii="仿宋" w:hAnsi="仿宋" w:eastAsia="仿宋"/>
          <w:b/>
          <w:bCs/>
          <w:color w:val="000000"/>
          <w:sz w:val="24"/>
        </w:rPr>
      </w:pPr>
      <w:bookmarkStart w:id="144" w:name="_Toc488067914"/>
      <w:bookmarkStart w:id="145" w:name="_Toc488068007"/>
      <w:r>
        <w:rPr>
          <w:rFonts w:hint="eastAsia" w:ascii="仿宋" w:hAnsi="仿宋" w:eastAsia="仿宋"/>
          <w:b/>
          <w:bCs/>
          <w:color w:val="000000"/>
          <w:sz w:val="24"/>
        </w:rPr>
        <w:t>十、合同争议的解决</w:t>
      </w:r>
      <w:bookmarkEnd w:id="144"/>
      <w:bookmarkEnd w:id="145"/>
    </w:p>
    <w:p>
      <w:pPr>
        <w:snapToGrid w:val="0"/>
        <w:spacing w:line="380" w:lineRule="exact"/>
        <w:ind w:firstLine="480" w:firstLineChars="200"/>
        <w:rPr>
          <w:rFonts w:ascii="仿宋" w:hAnsi="仿宋" w:eastAsia="仿宋"/>
          <w:bCs/>
          <w:color w:val="000000"/>
          <w:sz w:val="24"/>
        </w:rPr>
      </w:pPr>
      <w:bookmarkStart w:id="146" w:name="_Toc488067915"/>
      <w:bookmarkStart w:id="147" w:name="_Toc488068008"/>
      <w:r>
        <w:rPr>
          <w:rFonts w:hint="eastAsia" w:ascii="仿宋" w:hAnsi="仿宋" w:eastAsia="仿宋"/>
          <w:bCs/>
          <w:color w:val="000000"/>
          <w:sz w:val="24"/>
        </w:rPr>
        <w:t>1、当事人友好协商达成一致</w:t>
      </w:r>
      <w:bookmarkEnd w:id="146"/>
      <w:bookmarkEnd w:id="147"/>
    </w:p>
    <w:p>
      <w:pPr>
        <w:snapToGrid w:val="0"/>
        <w:spacing w:line="380" w:lineRule="exact"/>
        <w:ind w:firstLine="480" w:firstLineChars="200"/>
        <w:rPr>
          <w:rFonts w:ascii="仿宋" w:hAnsi="仿宋" w:eastAsia="仿宋"/>
          <w:bCs/>
          <w:color w:val="000000"/>
          <w:sz w:val="24"/>
        </w:rPr>
      </w:pPr>
      <w:bookmarkStart w:id="148" w:name="_Toc488068009"/>
      <w:bookmarkStart w:id="149" w:name="_Toc488067916"/>
      <w:r>
        <w:rPr>
          <w:rFonts w:hint="eastAsia" w:ascii="仿宋" w:hAnsi="仿宋" w:eastAsia="仿宋"/>
          <w:bCs/>
          <w:color w:val="000000"/>
          <w:sz w:val="24"/>
        </w:rPr>
        <w:t>2、在60天内当事人协商不能达成协议的，可提请采购人当地仲裁机构仲裁。</w:t>
      </w:r>
      <w:bookmarkEnd w:id="148"/>
      <w:bookmarkEnd w:id="149"/>
    </w:p>
    <w:p>
      <w:pPr>
        <w:rPr>
          <w:rFonts w:ascii="仿宋" w:hAnsi="仿宋" w:eastAsia="仿宋"/>
          <w:b/>
          <w:bCs/>
          <w:color w:val="000000"/>
          <w:sz w:val="24"/>
        </w:rPr>
      </w:pPr>
      <w:bookmarkStart w:id="150" w:name="_Toc488067917"/>
      <w:bookmarkStart w:id="151" w:name="_Toc488068010"/>
      <w:r>
        <w:rPr>
          <w:rFonts w:hint="eastAsia" w:ascii="仿宋" w:hAnsi="仿宋" w:eastAsia="仿宋"/>
          <w:b/>
          <w:bCs/>
          <w:color w:val="000000"/>
          <w:sz w:val="24"/>
        </w:rPr>
        <w:t>十一、违约责任</w:t>
      </w:r>
      <w:bookmarkEnd w:id="150"/>
      <w:bookmarkEnd w:id="151"/>
    </w:p>
    <w:p>
      <w:pPr>
        <w:snapToGrid w:val="0"/>
        <w:spacing w:line="380" w:lineRule="exact"/>
        <w:ind w:firstLine="480" w:firstLineChars="200"/>
        <w:rPr>
          <w:rFonts w:ascii="仿宋" w:hAnsi="仿宋" w:eastAsia="仿宋"/>
          <w:bCs/>
          <w:color w:val="000000"/>
          <w:sz w:val="24"/>
        </w:rPr>
      </w:pPr>
      <w:bookmarkStart w:id="152" w:name="_Toc488067918"/>
      <w:bookmarkStart w:id="153" w:name="_Toc488068011"/>
      <w:r>
        <w:rPr>
          <w:rFonts w:hint="eastAsia" w:ascii="仿宋" w:hAnsi="仿宋" w:eastAsia="仿宋"/>
          <w:bCs/>
          <w:color w:val="000000"/>
          <w:sz w:val="24"/>
        </w:rPr>
        <w:t>按《中华人民共和国合同法》、《中华人民共和国政府采购法》有关条款，或由供需双方约定。</w:t>
      </w:r>
      <w:bookmarkEnd w:id="152"/>
      <w:bookmarkEnd w:id="153"/>
    </w:p>
    <w:p>
      <w:pPr>
        <w:rPr>
          <w:rFonts w:ascii="仿宋" w:hAnsi="仿宋" w:eastAsia="仿宋"/>
          <w:b/>
          <w:bCs/>
          <w:color w:val="000000"/>
          <w:sz w:val="24"/>
        </w:rPr>
      </w:pPr>
      <w:bookmarkStart w:id="154" w:name="_Toc488067919"/>
      <w:bookmarkStart w:id="155" w:name="_Toc488068012"/>
      <w:r>
        <w:rPr>
          <w:rFonts w:hint="eastAsia" w:ascii="仿宋" w:hAnsi="仿宋" w:eastAsia="仿宋"/>
          <w:b/>
          <w:bCs/>
          <w:color w:val="000000"/>
          <w:sz w:val="24"/>
        </w:rPr>
        <w:t>十二、合同生效及其它</w:t>
      </w:r>
      <w:bookmarkEnd w:id="154"/>
      <w:bookmarkEnd w:id="155"/>
    </w:p>
    <w:p>
      <w:pPr>
        <w:snapToGrid w:val="0"/>
        <w:spacing w:line="380" w:lineRule="exact"/>
        <w:ind w:firstLine="480" w:firstLineChars="200"/>
        <w:rPr>
          <w:rFonts w:ascii="仿宋" w:hAnsi="仿宋" w:eastAsia="仿宋"/>
          <w:bCs/>
          <w:color w:val="000000"/>
          <w:sz w:val="24"/>
        </w:rPr>
      </w:pPr>
      <w:bookmarkStart w:id="156" w:name="_Toc488067920"/>
      <w:bookmarkStart w:id="157" w:name="_Toc488068013"/>
      <w:r>
        <w:rPr>
          <w:rFonts w:hint="eastAsia" w:ascii="仿宋" w:hAnsi="仿宋" w:eastAsia="仿宋"/>
          <w:bCs/>
          <w:color w:val="000000"/>
          <w:sz w:val="24"/>
        </w:rPr>
        <w:t>1、合同生效及其效力应符合《中华人民共和国合同法》有关规定。</w:t>
      </w:r>
      <w:bookmarkEnd w:id="156"/>
      <w:bookmarkEnd w:id="157"/>
    </w:p>
    <w:p>
      <w:pPr>
        <w:snapToGrid w:val="0"/>
        <w:spacing w:line="380" w:lineRule="exact"/>
        <w:ind w:firstLine="480" w:firstLineChars="200"/>
        <w:rPr>
          <w:rFonts w:ascii="仿宋" w:hAnsi="仿宋" w:eastAsia="仿宋"/>
          <w:bCs/>
          <w:color w:val="000000"/>
          <w:sz w:val="24"/>
        </w:rPr>
      </w:pPr>
      <w:bookmarkStart w:id="158" w:name="_Toc488067921"/>
      <w:bookmarkStart w:id="159" w:name="_Toc488068014"/>
      <w:r>
        <w:rPr>
          <w:rFonts w:hint="eastAsia" w:ascii="仿宋" w:hAnsi="仿宋" w:eastAsia="仿宋"/>
          <w:bCs/>
          <w:color w:val="000000"/>
          <w:sz w:val="24"/>
        </w:rPr>
        <w:t>2、合同应经当事人法定代表人或委托代理人签字，加盖双方合同专用章或公章。</w:t>
      </w:r>
      <w:bookmarkEnd w:id="158"/>
      <w:bookmarkEnd w:id="159"/>
    </w:p>
    <w:p>
      <w:pPr>
        <w:snapToGrid w:val="0"/>
        <w:spacing w:line="380" w:lineRule="exact"/>
        <w:ind w:firstLine="480" w:firstLineChars="200"/>
        <w:rPr>
          <w:rFonts w:ascii="仿宋" w:hAnsi="仿宋" w:eastAsia="仿宋"/>
          <w:bCs/>
          <w:color w:val="000000"/>
          <w:sz w:val="24"/>
        </w:rPr>
      </w:pPr>
      <w:bookmarkStart w:id="160" w:name="_Toc488067922"/>
      <w:bookmarkStart w:id="161" w:name="_Toc488068015"/>
      <w:r>
        <w:rPr>
          <w:rFonts w:hint="eastAsia" w:ascii="仿宋" w:hAnsi="仿宋" w:eastAsia="仿宋"/>
          <w:bCs/>
          <w:color w:val="000000"/>
          <w:sz w:val="24"/>
        </w:rPr>
        <w:t>3、合同所包括附件，是合同不可分割的一部分，具有同等法法律效力。</w:t>
      </w:r>
      <w:bookmarkEnd w:id="160"/>
      <w:bookmarkEnd w:id="161"/>
    </w:p>
    <w:p>
      <w:pPr>
        <w:snapToGrid w:val="0"/>
        <w:spacing w:line="380" w:lineRule="exact"/>
        <w:ind w:firstLine="480" w:firstLineChars="200"/>
        <w:rPr>
          <w:rFonts w:ascii="仿宋" w:hAnsi="仿宋" w:eastAsia="仿宋"/>
          <w:bCs/>
          <w:color w:val="000000"/>
          <w:sz w:val="24"/>
        </w:rPr>
      </w:pPr>
      <w:bookmarkStart w:id="162" w:name="_Toc488067923"/>
      <w:bookmarkStart w:id="163" w:name="_Toc488068016"/>
      <w:r>
        <w:rPr>
          <w:rFonts w:hint="eastAsia" w:ascii="仿宋" w:hAnsi="仿宋" w:eastAsia="仿宋"/>
          <w:bCs/>
          <w:color w:val="000000"/>
          <w:sz w:val="24"/>
        </w:rPr>
        <w:t>4、合同需提供担保的，按《中华人民共和国担保法》规定执行。</w:t>
      </w:r>
      <w:bookmarkEnd w:id="162"/>
      <w:bookmarkEnd w:id="163"/>
    </w:p>
    <w:p>
      <w:pPr>
        <w:snapToGrid w:val="0"/>
        <w:spacing w:line="380" w:lineRule="exact"/>
        <w:ind w:firstLine="480" w:firstLineChars="200"/>
        <w:rPr>
          <w:rFonts w:ascii="仿宋" w:hAnsi="仿宋" w:eastAsia="仿宋"/>
          <w:bCs/>
          <w:color w:val="000000"/>
          <w:sz w:val="24"/>
        </w:rPr>
      </w:pPr>
      <w:r>
        <w:rPr>
          <w:rFonts w:hint="eastAsia" w:ascii="仿宋" w:hAnsi="仿宋" w:eastAsia="仿宋"/>
          <w:bCs/>
          <w:color w:val="000000"/>
          <w:sz w:val="24"/>
        </w:rPr>
        <w:t>5、本合同条件未尽事宜依照《中华人民共和国合同法》，由供需双方共同协商确定。</w:t>
      </w:r>
    </w:p>
    <w:p>
      <w:pPr>
        <w:snapToGrid w:val="0"/>
        <w:spacing w:line="380" w:lineRule="exact"/>
        <w:ind w:firstLine="482" w:firstLineChars="200"/>
        <w:rPr>
          <w:rFonts w:ascii="仿宋" w:hAnsi="仿宋" w:eastAsia="仿宋"/>
          <w:b/>
          <w:bCs/>
          <w:color w:val="000000"/>
          <w:sz w:val="24"/>
        </w:rPr>
      </w:pPr>
      <w:bookmarkStart w:id="164" w:name="_Toc148265480"/>
      <w:bookmarkStart w:id="165" w:name="_Toc303945820"/>
    </w:p>
    <w:p>
      <w:pPr>
        <w:pStyle w:val="2"/>
        <w:ind w:left="560" w:firstLine="880"/>
      </w:pPr>
    </w:p>
    <w:p>
      <w:pPr>
        <w:pStyle w:val="15"/>
      </w:pPr>
    </w:p>
    <w:p>
      <w:pPr>
        <w:snapToGrid w:val="0"/>
        <w:spacing w:line="380" w:lineRule="exact"/>
        <w:ind w:firstLine="480" w:firstLineChars="200"/>
        <w:rPr>
          <w:rFonts w:ascii="仿宋" w:hAnsi="仿宋" w:eastAsia="仿宋"/>
          <w:bCs/>
          <w:color w:val="000000"/>
          <w:sz w:val="24"/>
        </w:rPr>
      </w:pPr>
    </w:p>
    <w:p>
      <w:pPr>
        <w:pStyle w:val="2"/>
        <w:ind w:left="560" w:firstLine="880"/>
      </w:pPr>
    </w:p>
    <w:bookmarkEnd w:id="164"/>
    <w:bookmarkEnd w:id="165"/>
    <w:p>
      <w:pPr>
        <w:tabs>
          <w:tab w:val="left" w:pos="9000"/>
        </w:tabs>
        <w:spacing w:line="276" w:lineRule="auto"/>
        <w:rPr>
          <w:rFonts w:ascii="方正仿宋_GBK" w:eastAsia="方正仿宋_GBK"/>
          <w:color w:val="000000"/>
          <w:sz w:val="21"/>
          <w:szCs w:val="21"/>
        </w:rPr>
        <w:sectPr>
          <w:footerReference r:id="rId4" w:type="default"/>
          <w:pgSz w:w="11907" w:h="16840"/>
          <w:pgMar w:top="1134" w:right="1191" w:bottom="1134" w:left="1304" w:header="964" w:footer="992" w:gutter="0"/>
          <w:pgNumType w:fmt="numberInDash"/>
          <w:cols w:space="720" w:num="1"/>
          <w:docGrid w:linePitch="312" w:charSpace="0"/>
        </w:sectPr>
      </w:pPr>
    </w:p>
    <w:p>
      <w:pPr>
        <w:rPr>
          <w:rFonts w:ascii="仿宋" w:hAnsi="仿宋" w:eastAsia="仿宋" w:cs="仿宋"/>
        </w:rPr>
      </w:pPr>
    </w:p>
    <w:bookmarkEnd w:id="1"/>
    <w:p>
      <w:pPr>
        <w:keepNext/>
        <w:keepLines/>
        <w:spacing w:after="200" w:line="360" w:lineRule="auto"/>
        <w:ind w:firstLine="723" w:firstLineChars="200"/>
        <w:jc w:val="center"/>
        <w:outlineLvl w:val="0"/>
        <w:rPr>
          <w:rFonts w:ascii="仿宋" w:hAnsi="仿宋" w:eastAsia="仿宋" w:cs="仿宋"/>
          <w:b/>
          <w:bCs/>
          <w:sz w:val="36"/>
          <w:szCs w:val="30"/>
        </w:rPr>
      </w:pPr>
      <w:bookmarkStart w:id="166" w:name="_Toc485108795"/>
      <w:bookmarkStart w:id="167" w:name="_Toc16972"/>
      <w:bookmarkStart w:id="168" w:name="_Toc88838455"/>
      <w:bookmarkStart w:id="169" w:name="_Toc19706"/>
      <w:bookmarkStart w:id="170" w:name="_Toc71288799"/>
      <w:bookmarkStart w:id="171" w:name="_Toc26539"/>
      <w:bookmarkStart w:id="172" w:name="_Toc2978"/>
      <w:bookmarkStart w:id="173" w:name="_Toc4822"/>
      <w:bookmarkStart w:id="174" w:name="_Toc12637"/>
      <w:bookmarkStart w:id="175" w:name="_Toc77262135"/>
      <w:bookmarkStart w:id="176" w:name="_Toc27336"/>
      <w:r>
        <w:rPr>
          <w:rFonts w:hint="eastAsia" w:ascii="仿宋" w:hAnsi="仿宋" w:eastAsia="仿宋" w:cs="仿宋"/>
          <w:b/>
          <w:bCs/>
          <w:sz w:val="36"/>
          <w:szCs w:val="30"/>
        </w:rPr>
        <w:t>第七篇  响应文件编制要求</w:t>
      </w:r>
      <w:bookmarkEnd w:id="166"/>
      <w:bookmarkEnd w:id="167"/>
      <w:bookmarkEnd w:id="168"/>
      <w:bookmarkEnd w:id="169"/>
      <w:bookmarkEnd w:id="170"/>
      <w:bookmarkEnd w:id="171"/>
      <w:bookmarkEnd w:id="172"/>
      <w:bookmarkEnd w:id="173"/>
      <w:bookmarkEnd w:id="174"/>
      <w:bookmarkEnd w:id="175"/>
      <w:bookmarkEnd w:id="176"/>
    </w:p>
    <w:p>
      <w:pPr>
        <w:keepNext/>
        <w:keepLines/>
        <w:spacing w:before="260" w:after="260"/>
        <w:outlineLvl w:val="1"/>
        <w:rPr>
          <w:rFonts w:ascii="仿宋" w:hAnsi="仿宋" w:eastAsia="仿宋" w:cs="宋体"/>
          <w:b/>
          <w:sz w:val="32"/>
          <w:szCs w:val="32"/>
        </w:rPr>
      </w:pPr>
      <w:bookmarkStart w:id="177" w:name="_Toc79151536"/>
      <w:bookmarkStart w:id="178" w:name="_Toc88838456"/>
      <w:bookmarkStart w:id="179" w:name="_Toc77262136"/>
      <w:r>
        <w:rPr>
          <w:rFonts w:hint="eastAsia" w:ascii="仿宋" w:hAnsi="仿宋" w:eastAsia="仿宋" w:cs="宋体"/>
          <w:b/>
          <w:sz w:val="32"/>
          <w:szCs w:val="32"/>
        </w:rPr>
        <w:t>响应文件格式要求（本篇所有格式要求将逐一检查，如一项不符，投标文件将被拒绝）</w:t>
      </w:r>
      <w:bookmarkEnd w:id="177"/>
      <w:bookmarkEnd w:id="178"/>
      <w:bookmarkEnd w:id="179"/>
    </w:p>
    <w:p>
      <w:pPr>
        <w:spacing w:after="200"/>
        <w:ind w:firstLine="480" w:firstLineChars="200"/>
        <w:rPr>
          <w:rFonts w:ascii="仿宋" w:hAnsi="仿宋" w:eastAsia="仿宋" w:cs="宋体"/>
          <w:sz w:val="24"/>
          <w:szCs w:val="24"/>
        </w:rPr>
      </w:pPr>
      <w:r>
        <w:rPr>
          <w:rFonts w:hint="eastAsia" w:ascii="仿宋" w:hAnsi="仿宋" w:eastAsia="仿宋" w:cs="宋体"/>
          <w:sz w:val="24"/>
          <w:szCs w:val="24"/>
        </w:rPr>
        <w:t xml:space="preserve">一、响应文件编制、装订要求 </w:t>
      </w:r>
    </w:p>
    <w:p>
      <w:pPr>
        <w:spacing w:after="200"/>
        <w:ind w:firstLine="480" w:firstLineChars="200"/>
        <w:rPr>
          <w:rFonts w:hint="eastAsia" w:ascii="仿宋" w:hAnsi="仿宋" w:eastAsia="仿宋" w:cs="宋体"/>
          <w:b/>
          <w:sz w:val="24"/>
          <w:szCs w:val="24"/>
          <w:u w:val="single"/>
          <w:lang w:eastAsia="zh-CN"/>
        </w:rPr>
      </w:pPr>
      <w:r>
        <w:rPr>
          <w:rFonts w:hint="eastAsia" w:ascii="仿宋" w:hAnsi="仿宋" w:eastAsia="仿宋" w:cs="宋体"/>
          <w:sz w:val="24"/>
          <w:szCs w:val="24"/>
          <w:u w:val="single"/>
        </w:rPr>
        <w:t>1、</w:t>
      </w:r>
      <w:r>
        <w:rPr>
          <w:rFonts w:hint="eastAsia" w:ascii="仿宋" w:hAnsi="仿宋" w:eastAsia="仿宋" w:cs="宋体"/>
          <w:b/>
          <w:sz w:val="24"/>
          <w:szCs w:val="24"/>
          <w:u w:val="single"/>
        </w:rPr>
        <w:t>响应文件必须采用软面订本，必须编制完整的页码、目录，</w:t>
      </w:r>
      <w:r>
        <w:rPr>
          <w:rFonts w:hint="eastAsia" w:ascii="仿宋" w:hAnsi="仿宋" w:eastAsia="仿宋" w:cs="宋体"/>
          <w:b/>
          <w:sz w:val="24"/>
          <w:szCs w:val="24"/>
          <w:u w:val="single"/>
          <w:lang w:val="en-US" w:eastAsia="zh-CN"/>
        </w:rPr>
        <w:t>原则上</w:t>
      </w:r>
      <w:r>
        <w:rPr>
          <w:rFonts w:hint="eastAsia" w:ascii="仿宋" w:hAnsi="仿宋" w:eastAsia="仿宋" w:cs="宋体"/>
          <w:b/>
          <w:sz w:val="24"/>
          <w:szCs w:val="24"/>
          <w:u w:val="single"/>
        </w:rPr>
        <w:t>双面打印</w:t>
      </w:r>
      <w:r>
        <w:rPr>
          <w:rFonts w:hint="eastAsia" w:ascii="仿宋" w:hAnsi="仿宋" w:eastAsia="仿宋" w:cs="宋体"/>
          <w:b/>
          <w:sz w:val="24"/>
          <w:szCs w:val="24"/>
          <w:u w:val="single"/>
          <w:lang w:eastAsia="zh-CN"/>
        </w:rPr>
        <w:t>。</w:t>
      </w:r>
    </w:p>
    <w:p>
      <w:pPr>
        <w:spacing w:after="200"/>
        <w:ind w:firstLine="480" w:firstLineChars="200"/>
        <w:rPr>
          <w:rFonts w:ascii="仿宋" w:hAnsi="仿宋" w:eastAsia="仿宋" w:cs="宋体"/>
          <w:b/>
          <w:color w:val="000000"/>
          <w:sz w:val="24"/>
          <w:szCs w:val="24"/>
        </w:rPr>
      </w:pPr>
      <w:bookmarkStart w:id="323" w:name="_GoBack"/>
      <w:bookmarkEnd w:id="323"/>
      <w:r>
        <w:rPr>
          <w:rFonts w:hint="eastAsia" w:ascii="仿宋" w:hAnsi="仿宋" w:eastAsia="仿宋" w:cs="宋体"/>
          <w:color w:val="000000"/>
          <w:sz w:val="24"/>
          <w:szCs w:val="24"/>
        </w:rPr>
        <w:t>2、响应文件由第七篇“响应文件编制要求”规定格式的部分、竞争性磋商文件其他部分要求的响应和供应商所作的一切有效补充、修改和承诺等文件组成，</w:t>
      </w:r>
      <w:r>
        <w:rPr>
          <w:rFonts w:hint="eastAsia" w:ascii="仿宋" w:hAnsi="仿宋" w:eastAsia="仿宋" w:cs="宋体"/>
          <w:b/>
          <w:color w:val="000000"/>
          <w:sz w:val="24"/>
          <w:szCs w:val="24"/>
        </w:rPr>
        <w:t>供应商必须按照第七篇“响应文件编制要求”规定的目录顺序组织编写和装订响应文件</w:t>
      </w:r>
      <w:r>
        <w:rPr>
          <w:rFonts w:hint="eastAsia" w:ascii="仿宋" w:hAnsi="仿宋" w:eastAsia="仿宋" w:cs="宋体"/>
          <w:color w:val="000000"/>
          <w:sz w:val="24"/>
          <w:szCs w:val="24"/>
        </w:rPr>
        <w:t>，</w:t>
      </w:r>
      <w:r>
        <w:rPr>
          <w:rFonts w:hint="eastAsia" w:ascii="仿宋" w:hAnsi="仿宋" w:eastAsia="仿宋" w:cs="宋体"/>
          <w:b/>
          <w:color w:val="000000"/>
          <w:sz w:val="24"/>
          <w:szCs w:val="24"/>
        </w:rPr>
        <w:t>其中资格条件单独装订成本，其余部分（不含图纸）合订成一本。第七篇“响应文件编制要求”未规定格式的部分由供应商自定格式，装订在响应文件最后。</w:t>
      </w:r>
    </w:p>
    <w:p>
      <w:pPr>
        <w:spacing w:after="200"/>
        <w:ind w:firstLine="480" w:firstLineChars="200"/>
        <w:rPr>
          <w:rFonts w:ascii="仿宋" w:hAnsi="仿宋" w:eastAsia="仿宋" w:cs="宋体"/>
          <w:sz w:val="24"/>
          <w:szCs w:val="24"/>
        </w:rPr>
      </w:pPr>
      <w:r>
        <w:rPr>
          <w:rFonts w:hint="eastAsia" w:ascii="仿宋" w:hAnsi="仿宋" w:eastAsia="仿宋" w:cs="宋体"/>
          <w:sz w:val="24"/>
          <w:szCs w:val="24"/>
        </w:rPr>
        <w:t xml:space="preserve">二、提交响应文件的份数、密封与签署 </w:t>
      </w:r>
    </w:p>
    <w:p>
      <w:pPr>
        <w:tabs>
          <w:tab w:val="left" w:pos="0"/>
        </w:tabs>
        <w:spacing w:line="460" w:lineRule="exact"/>
        <w:ind w:firstLine="480" w:firstLineChars="200"/>
        <w:rPr>
          <w:rFonts w:ascii="仿宋" w:hAnsi="仿宋" w:eastAsia="仿宋"/>
          <w:sz w:val="24"/>
        </w:rPr>
      </w:pPr>
      <w:r>
        <w:rPr>
          <w:rFonts w:hint="eastAsia" w:ascii="仿宋" w:hAnsi="仿宋" w:eastAsia="仿宋" w:cs="宋体"/>
          <w:sz w:val="24"/>
          <w:szCs w:val="24"/>
        </w:rPr>
        <w:t>1、</w:t>
      </w:r>
      <w:r>
        <w:rPr>
          <w:rFonts w:hint="eastAsia" w:ascii="仿宋" w:hAnsi="仿宋" w:eastAsia="仿宋"/>
          <w:sz w:val="24"/>
        </w:rPr>
        <w:t>响应文件一式肆份，其中正本一份，副本两份，电子文档一份（电子文档内容应与投标文件正本一致，如不一致以纸质文件正本为准，必须采用光盘为电子文档载体，建议光盘正面贴上标签：“重庆化工职业学院长寿校区田径场主席台会标屏及看台标识字制作安装项目”并加盖投标人鲜章）。副本可为正本的复印件，应与正本一致，如出现不一致情况以正本为准。</w:t>
      </w:r>
    </w:p>
    <w:p>
      <w:pPr>
        <w:spacing w:after="200"/>
        <w:ind w:firstLine="480" w:firstLineChars="200"/>
        <w:rPr>
          <w:rFonts w:ascii="仿宋" w:hAnsi="仿宋" w:eastAsia="仿宋" w:cs="宋体"/>
          <w:sz w:val="24"/>
        </w:rPr>
      </w:pPr>
      <w:r>
        <w:rPr>
          <w:rFonts w:hint="eastAsia" w:ascii="仿宋" w:hAnsi="仿宋" w:eastAsia="仿宋" w:cs="宋体"/>
          <w:sz w:val="24"/>
          <w:szCs w:val="24"/>
        </w:rPr>
        <w:t>2、</w:t>
      </w:r>
      <w:r>
        <w:rPr>
          <w:rFonts w:hint="eastAsia" w:ascii="仿宋" w:hAnsi="仿宋" w:eastAsia="仿宋" w:cs="宋体"/>
          <w:sz w:val="24"/>
        </w:rPr>
        <w:t>在响应文件正本中，竞争性磋商文件第七篇响应文件格式中规定签字、盖章的地方必须按其规定签字、盖章。如竞标文件明细报价表、竞标文件技术响应偏离表、竞标文件服务响应偏离表均必须逐页签字或盖章。</w:t>
      </w:r>
    </w:p>
    <w:p>
      <w:pPr>
        <w:spacing w:after="200"/>
        <w:ind w:firstLine="480" w:firstLineChars="200"/>
        <w:rPr>
          <w:rFonts w:ascii="仿宋" w:hAnsi="仿宋" w:eastAsia="仿宋" w:cs="宋体"/>
          <w:sz w:val="24"/>
          <w:szCs w:val="24"/>
        </w:rPr>
      </w:pPr>
      <w:r>
        <w:rPr>
          <w:rFonts w:hint="eastAsia" w:ascii="仿宋" w:hAnsi="仿宋" w:eastAsia="仿宋" w:cs="宋体"/>
          <w:sz w:val="24"/>
          <w:szCs w:val="24"/>
        </w:rPr>
        <w:t>3、响应文件的密封与标记</w:t>
      </w:r>
    </w:p>
    <w:p>
      <w:pPr>
        <w:spacing w:after="200"/>
        <w:ind w:firstLine="480" w:firstLineChars="200"/>
        <w:rPr>
          <w:rFonts w:ascii="仿宋" w:hAnsi="仿宋" w:eastAsia="仿宋" w:cs="宋体"/>
          <w:sz w:val="24"/>
          <w:szCs w:val="24"/>
        </w:rPr>
      </w:pPr>
      <w:r>
        <w:rPr>
          <w:rFonts w:hint="eastAsia" w:ascii="仿宋" w:hAnsi="仿宋" w:eastAsia="仿宋" w:cs="宋体"/>
          <w:sz w:val="24"/>
          <w:szCs w:val="24"/>
        </w:rPr>
        <w:t>响应文件的正本、副本均必须采用信封</w:t>
      </w:r>
      <w:r>
        <w:rPr>
          <w:rFonts w:hint="eastAsia" w:ascii="仿宋" w:hAnsi="仿宋" w:eastAsia="仿宋" w:cs="宋体"/>
          <w:b/>
          <w:sz w:val="24"/>
          <w:szCs w:val="24"/>
        </w:rPr>
        <w:t>分别</w:t>
      </w:r>
      <w:r>
        <w:rPr>
          <w:rFonts w:hint="eastAsia" w:ascii="仿宋" w:hAnsi="仿宋" w:eastAsia="仿宋" w:cs="宋体"/>
          <w:sz w:val="24"/>
          <w:szCs w:val="24"/>
        </w:rPr>
        <w:t>密封。信封上必须注明项目名称、供应商名称、“正本”、“副本”字样。信封的封口必须加盖供应商公章或法人授权代表签字。</w:t>
      </w:r>
    </w:p>
    <w:p>
      <w:pPr>
        <w:keepNext/>
        <w:keepLines/>
        <w:spacing w:before="260" w:after="260"/>
        <w:outlineLvl w:val="1"/>
        <w:rPr>
          <w:rFonts w:ascii="仿宋" w:hAnsi="仿宋" w:eastAsia="仿宋" w:cs="宋体"/>
          <w:b/>
          <w:sz w:val="32"/>
          <w:szCs w:val="32"/>
        </w:rPr>
      </w:pPr>
      <w:bookmarkStart w:id="180" w:name="_Toc88838457"/>
      <w:bookmarkStart w:id="181" w:name="_Toc77262137"/>
      <w:r>
        <w:rPr>
          <w:rFonts w:hint="eastAsia" w:ascii="仿宋" w:hAnsi="仿宋" w:eastAsia="仿宋" w:cs="宋体"/>
          <w:b/>
          <w:sz w:val="32"/>
          <w:szCs w:val="32"/>
        </w:rPr>
        <w:t>响应文件规定格式部分</w:t>
      </w:r>
      <w:bookmarkEnd w:id="180"/>
      <w:bookmarkEnd w:id="181"/>
    </w:p>
    <w:p>
      <w:pPr>
        <w:spacing w:line="44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一、经济部分</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（一）磋商报价函</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（二）明细报价表</w:t>
      </w:r>
    </w:p>
    <w:p>
      <w:pPr>
        <w:spacing w:line="44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二、技术部分</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（一）技术响应偏离</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spacing w:line="44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三、服务部分</w:t>
      </w:r>
    </w:p>
    <w:p>
      <w:pPr>
        <w:spacing w:line="440" w:lineRule="exact"/>
        <w:ind w:firstLine="480" w:firstLineChars="200"/>
        <w:rPr>
          <w:rFonts w:ascii="仿宋" w:hAnsi="仿宋" w:eastAsia="仿宋" w:cs="仿宋"/>
          <w:sz w:val="24"/>
          <w:szCs w:val="24"/>
        </w:rPr>
      </w:pPr>
      <w:bookmarkStart w:id="182" w:name="OLE_LINK10"/>
      <w:bookmarkStart w:id="183" w:name="OLE_LINK11"/>
      <w:r>
        <w:rPr>
          <w:rFonts w:hint="eastAsia" w:ascii="仿宋" w:hAnsi="仿宋" w:eastAsia="仿宋" w:cs="仿宋"/>
          <w:sz w:val="24"/>
          <w:szCs w:val="24"/>
        </w:rPr>
        <w:t>（一）服务响应偏离表</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（三）其它优惠承诺</w:t>
      </w:r>
    </w:p>
    <w:p>
      <w:pPr>
        <w:spacing w:line="440" w:lineRule="exact"/>
        <w:ind w:firstLine="482" w:firstLineChars="200"/>
        <w:rPr>
          <w:rFonts w:ascii="仿宋" w:hAnsi="仿宋" w:eastAsia="仿宋" w:cs="仿宋"/>
          <w:sz w:val="24"/>
          <w:szCs w:val="24"/>
        </w:rPr>
      </w:pPr>
      <w:r>
        <w:rPr>
          <w:rFonts w:hint="eastAsia" w:ascii="仿宋" w:hAnsi="仿宋" w:eastAsia="仿宋" w:cs="仿宋"/>
          <w:b/>
          <w:bCs/>
          <w:sz w:val="24"/>
          <w:szCs w:val="24"/>
        </w:rPr>
        <w:t>四、资格条件 (单独装订)</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（一）营业执照（副本）或事业单位法人证书（副本）复印件</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（二）税务登记证复印件。说明：“多证合一”登记制度办理营业执照的，组织机构代码证、税务登记证（副本）和社会保险登记证以供应商所提供的营业执照（副本）复印件为准。</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（三）法定代表人身份证明书（格式）</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（四）法定代表人授权委托书（格式）</w:t>
      </w:r>
    </w:p>
    <w:p>
      <w:pPr>
        <w:snapToGrid w:val="0"/>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（五）提供2020年度财务状况报告（表）（表：资产负债表和损益表）复印件</w:t>
      </w:r>
      <w:r>
        <w:rPr>
          <w:rFonts w:hint="eastAsia" w:ascii="仿宋" w:hAnsi="仿宋" w:eastAsia="仿宋" w:cs="宋体"/>
          <w:sz w:val="24"/>
          <w:szCs w:val="24"/>
        </w:rPr>
        <w:t>或其基本开户银行出具的资信证明（提供复印件）或审计报告复印件</w:t>
      </w:r>
      <w:r>
        <w:rPr>
          <w:rFonts w:hint="eastAsia" w:ascii="仿宋" w:hAnsi="仿宋" w:eastAsia="仿宋" w:cs="仿宋"/>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（六）书面声明（格式）</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（七）社会保险缴纳证明材料</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（八）特定资格条件证书或证明文件</w:t>
      </w:r>
    </w:p>
    <w:p>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说明：投标人按“五证合一”登记制度办理营业执照的，组织机构代码证、税务登记证（副本）和社会保险登记证以投标人所提供的法人营业执照（副本）复印件为准。</w:t>
      </w:r>
    </w:p>
    <w:p>
      <w:pPr>
        <w:spacing w:line="440" w:lineRule="exact"/>
        <w:ind w:firstLine="482" w:firstLineChars="200"/>
        <w:rPr>
          <w:rFonts w:ascii="仿宋" w:hAnsi="仿宋" w:eastAsia="仿宋" w:cs="仿宋"/>
          <w:b/>
          <w:bCs/>
          <w:sz w:val="24"/>
          <w:szCs w:val="24"/>
        </w:rPr>
      </w:pPr>
    </w:p>
    <w:p>
      <w:pPr>
        <w:spacing w:line="44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五、其他应提供的资料</w:t>
      </w:r>
    </w:p>
    <w:bookmarkEnd w:id="182"/>
    <w:bookmarkEnd w:id="183"/>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（一）中小微企业声明函、监狱企业证明文件、残疾人福利性单位声明函。（非小微企业不提供）</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（二）联合体共同联合协议（如果有）</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（三）其他资料</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1.保证金缴纳证明材料</w:t>
      </w:r>
    </w:p>
    <w:p>
      <w:pPr>
        <w:snapToGrid w:val="0"/>
        <w:spacing w:line="360" w:lineRule="auto"/>
        <w:ind w:firstLine="480" w:firstLineChars="200"/>
        <w:rPr>
          <w:rFonts w:ascii="仿宋" w:hAnsi="仿宋" w:eastAsia="仿宋" w:cs="仿宋"/>
          <w:b/>
          <w:bCs/>
          <w:sz w:val="24"/>
          <w:szCs w:val="24"/>
        </w:rPr>
      </w:pPr>
      <w:r>
        <w:rPr>
          <w:rFonts w:hint="eastAsia" w:ascii="仿宋" w:hAnsi="仿宋" w:eastAsia="仿宋" w:cs="仿宋"/>
          <w:sz w:val="24"/>
          <w:szCs w:val="24"/>
        </w:rPr>
        <w:t>2.</w:t>
      </w:r>
      <w:r>
        <w:rPr>
          <w:rFonts w:hint="eastAsia" w:ascii="仿宋" w:hAnsi="仿宋" w:eastAsia="仿宋" w:cs="仿宋"/>
          <w:b/>
          <w:bCs/>
          <w:sz w:val="24"/>
          <w:szCs w:val="24"/>
        </w:rPr>
        <w:t>竞争性磋商文件要求提供的其他资料</w:t>
      </w:r>
    </w:p>
    <w:p>
      <w:pPr>
        <w:snapToGrid w:val="0"/>
        <w:spacing w:line="360" w:lineRule="auto"/>
        <w:ind w:firstLine="480" w:firstLineChars="200"/>
        <w:rPr>
          <w:rFonts w:ascii="仿宋" w:hAnsi="仿宋" w:eastAsia="仿宋" w:cs="仿宋"/>
          <w:sz w:val="24"/>
          <w:szCs w:val="24"/>
        </w:rPr>
      </w:pPr>
    </w:p>
    <w:p>
      <w:pPr>
        <w:snapToGrid w:val="0"/>
        <w:spacing w:line="360" w:lineRule="auto"/>
        <w:ind w:firstLine="480" w:firstLineChars="200"/>
        <w:rPr>
          <w:rFonts w:ascii="仿宋" w:hAnsi="仿宋" w:eastAsia="仿宋" w:cs="仿宋"/>
          <w:sz w:val="24"/>
          <w:szCs w:val="24"/>
        </w:rPr>
      </w:pPr>
    </w:p>
    <w:p>
      <w:pPr>
        <w:snapToGrid w:val="0"/>
        <w:spacing w:line="360" w:lineRule="auto"/>
        <w:ind w:firstLine="480" w:firstLineChars="200"/>
        <w:rPr>
          <w:rFonts w:ascii="仿宋" w:hAnsi="仿宋" w:eastAsia="仿宋" w:cs="仿宋"/>
          <w:sz w:val="24"/>
          <w:szCs w:val="24"/>
        </w:rPr>
      </w:pP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p>
    <w:p>
      <w:pPr>
        <w:keepNext/>
        <w:keepLines/>
        <w:spacing w:after="200" w:line="360" w:lineRule="auto"/>
        <w:ind w:firstLine="562" w:firstLineChars="200"/>
        <w:outlineLvl w:val="1"/>
        <w:rPr>
          <w:rFonts w:ascii="仿宋" w:hAnsi="仿宋" w:eastAsia="仿宋" w:cs="仿宋"/>
          <w:b/>
          <w:szCs w:val="28"/>
        </w:rPr>
      </w:pPr>
      <w:bookmarkStart w:id="184" w:name="_Toc485108796"/>
      <w:bookmarkStart w:id="185" w:name="_Toc20878"/>
      <w:bookmarkStart w:id="186" w:name="_Toc31434"/>
      <w:bookmarkStart w:id="187" w:name="_Toc5702"/>
      <w:bookmarkStart w:id="188" w:name="_Toc71288800"/>
      <w:bookmarkStart w:id="189" w:name="_Toc77262138"/>
      <w:bookmarkStart w:id="190" w:name="_Toc88838458"/>
      <w:bookmarkStart w:id="191" w:name="_Toc480979018"/>
      <w:bookmarkStart w:id="192" w:name="_Toc29097"/>
      <w:bookmarkStart w:id="193" w:name="_Toc29031"/>
      <w:bookmarkStart w:id="194" w:name="_Toc27902"/>
      <w:bookmarkStart w:id="195" w:name="_Toc20949"/>
      <w:r>
        <w:rPr>
          <w:rFonts w:hint="eastAsia" w:ascii="仿宋" w:hAnsi="仿宋" w:eastAsia="仿宋" w:cs="仿宋"/>
          <w:b/>
          <w:szCs w:val="28"/>
        </w:rPr>
        <w:t>一、经济部分</w:t>
      </w:r>
      <w:bookmarkEnd w:id="184"/>
      <w:bookmarkEnd w:id="185"/>
      <w:bookmarkEnd w:id="186"/>
      <w:bookmarkEnd w:id="187"/>
      <w:bookmarkEnd w:id="188"/>
      <w:bookmarkEnd w:id="189"/>
      <w:bookmarkEnd w:id="190"/>
      <w:bookmarkEnd w:id="191"/>
      <w:bookmarkEnd w:id="192"/>
      <w:bookmarkEnd w:id="193"/>
      <w:bookmarkEnd w:id="194"/>
      <w:bookmarkEnd w:id="195"/>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（一）磋商报价函</w:t>
      </w:r>
    </w:p>
    <w:p>
      <w:pPr>
        <w:tabs>
          <w:tab w:val="left" w:pos="6300"/>
        </w:tabs>
        <w:snapToGrid w:val="0"/>
        <w:spacing w:line="480" w:lineRule="exact"/>
        <w:ind w:firstLine="562" w:firstLineChars="200"/>
        <w:jc w:val="center"/>
        <w:rPr>
          <w:rFonts w:ascii="仿宋" w:hAnsi="仿宋" w:eastAsia="仿宋" w:cs="仿宋"/>
          <w:b/>
          <w:szCs w:val="28"/>
        </w:rPr>
      </w:pPr>
      <w:bookmarkStart w:id="196" w:name="_Toc30366"/>
      <w:bookmarkStart w:id="197" w:name="_Toc10456"/>
      <w:bookmarkStart w:id="198" w:name="_Toc22467"/>
      <w:bookmarkStart w:id="199" w:name="_Toc26623"/>
      <w:r>
        <w:rPr>
          <w:rFonts w:hint="eastAsia" w:ascii="仿宋" w:hAnsi="仿宋" w:eastAsia="仿宋" w:cs="仿宋"/>
          <w:b/>
          <w:szCs w:val="28"/>
        </w:rPr>
        <w:t>磋商报价函</w:t>
      </w:r>
      <w:bookmarkEnd w:id="196"/>
      <w:bookmarkEnd w:id="197"/>
      <w:bookmarkEnd w:id="198"/>
      <w:bookmarkEnd w:id="199"/>
    </w:p>
    <w:p>
      <w:pPr>
        <w:tabs>
          <w:tab w:val="left" w:pos="6300"/>
        </w:tabs>
        <w:snapToGrid w:val="0"/>
        <w:spacing w:line="312" w:lineRule="auto"/>
        <w:ind w:firstLine="480" w:firstLineChars="200"/>
        <w:rPr>
          <w:rFonts w:ascii="仿宋" w:hAnsi="仿宋" w:eastAsia="仿宋" w:cs="仿宋"/>
          <w:sz w:val="24"/>
          <w:szCs w:val="24"/>
        </w:rPr>
      </w:pPr>
      <w:r>
        <w:rPr>
          <w:rFonts w:hint="eastAsia" w:ascii="仿宋" w:hAnsi="仿宋" w:eastAsia="仿宋" w:cs="仿宋"/>
          <w:sz w:val="24"/>
          <w:szCs w:val="24"/>
          <w:u w:val="single"/>
        </w:rPr>
        <w:t>（采购人名称）</w:t>
      </w:r>
      <w:r>
        <w:rPr>
          <w:rFonts w:hint="eastAsia" w:ascii="仿宋" w:hAnsi="仿宋" w:eastAsia="仿宋" w:cs="仿宋"/>
          <w:sz w:val="24"/>
          <w:szCs w:val="24"/>
        </w:rPr>
        <w:t>：</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我方收到____________________________（磋商项目名称）的竞争性磋商采购文件，经详细研究，决定参加该磋商项目的竞争磋商。</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1、愿意按照竞争性磋商文件中的一切要求，提供本项目的交货及技术服务，项目初始报价（总价）为人民币大写：元整；人民币小写：元。以我公司最后报价为准。</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2、我方现提交的响应文件为：响应文件正本份，副本份。</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3、我方承诺：本次磋商的有效期为90天。</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4、我方完全理解和接受贵方磋商采购文件的一切规定和要求及磋商评审办法。</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5、在整个磋商过程中，我方若有违规行为，接受按照《中华人民共和国政府采购法》和《竞争性磋商文件》之规定给予惩罚。</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6、我方若成为成交供应商，将按照最终磋商结果签订合同，并且严格履行合同义务。本承诺函将成为合同不可分割的一部分，与合同具有同等的法律效力。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7、我方同意按磋商文件规定，交纳磋商采购文件要求的保证金。如果我方成为成交供应商，保证在接到成交通知书后，向采购代理机构和交易中心缴纳竞争性磋商文件规定的采购代理服务费和交易服务费。</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8、我方未为采购项目提供整体设计、规范编制或者项目管理、监理、监测等服务。</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供应商（公章）：</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地址：  </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电话：                           传真：</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网址：                           邮编：</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联系人：</w:t>
      </w:r>
    </w:p>
    <w:p>
      <w:pPr>
        <w:snapToGrid w:val="0"/>
        <w:spacing w:line="360" w:lineRule="auto"/>
        <w:ind w:firstLine="480" w:firstLineChars="200"/>
        <w:rPr>
          <w:rFonts w:ascii="仿宋" w:hAnsi="仿宋" w:eastAsia="仿宋" w:cs="仿宋"/>
          <w:sz w:val="24"/>
          <w:szCs w:val="24"/>
        </w:rPr>
        <w:sectPr>
          <w:pgSz w:w="11907" w:h="16840"/>
          <w:pgMar w:top="1134" w:right="1191" w:bottom="1134" w:left="1304" w:header="851" w:footer="992" w:gutter="0"/>
          <w:pgNumType w:fmt="numberInDash"/>
          <w:cols w:space="720" w:num="1"/>
          <w:docGrid w:linePitch="380" w:charSpace="-5735"/>
        </w:sectPr>
      </w:pPr>
      <w:r>
        <w:rPr>
          <w:rFonts w:hint="eastAsia" w:ascii="仿宋" w:hAnsi="仿宋" w:eastAsia="仿宋" w:cs="仿宋"/>
          <w:sz w:val="24"/>
          <w:szCs w:val="24"/>
        </w:rPr>
        <w:t xml:space="preserve">                               年   月   日</w:t>
      </w:r>
    </w:p>
    <w:p>
      <w:pPr>
        <w:tabs>
          <w:tab w:val="left" w:pos="2895"/>
        </w:tabs>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（二）明细报价表</w:t>
      </w:r>
    </w:p>
    <w:p>
      <w:pPr>
        <w:ind w:firstLine="562" w:firstLineChars="200"/>
        <w:jc w:val="center"/>
        <w:rPr>
          <w:rFonts w:ascii="仿宋" w:hAnsi="仿宋" w:eastAsia="仿宋" w:cs="仿宋"/>
          <w:b/>
          <w:szCs w:val="28"/>
        </w:rPr>
      </w:pPr>
      <w:r>
        <w:rPr>
          <w:rFonts w:hint="eastAsia" w:ascii="仿宋" w:hAnsi="仿宋" w:eastAsia="仿宋" w:cs="仿宋"/>
          <w:b/>
          <w:szCs w:val="28"/>
        </w:rPr>
        <w:t>明细报价表</w:t>
      </w:r>
    </w:p>
    <w:p>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项目名称：</w:t>
      </w:r>
    </w:p>
    <w:p>
      <w:pPr>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项目编号：</w:t>
      </w:r>
    </w:p>
    <w:tbl>
      <w:tblPr>
        <w:tblStyle w:val="17"/>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196"/>
        <w:gridCol w:w="1258"/>
        <w:gridCol w:w="1435"/>
        <w:gridCol w:w="851"/>
        <w:gridCol w:w="992"/>
        <w:gridCol w:w="1295"/>
        <w:gridCol w:w="141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611" w:type="dxa"/>
            <w:vAlign w:val="center"/>
          </w:tcPr>
          <w:p>
            <w:pPr>
              <w:jc w:val="center"/>
              <w:rPr>
                <w:rFonts w:ascii="仿宋" w:hAnsi="仿宋" w:eastAsia="仿宋" w:cs="仿宋"/>
                <w:sz w:val="24"/>
                <w:szCs w:val="24"/>
              </w:rPr>
            </w:pPr>
            <w:r>
              <w:rPr>
                <w:rFonts w:hint="eastAsia" w:ascii="仿宋" w:hAnsi="仿宋" w:eastAsia="仿宋" w:cs="仿宋"/>
              </w:rPr>
              <w:t>序号</w:t>
            </w:r>
          </w:p>
        </w:tc>
        <w:tc>
          <w:tcPr>
            <w:tcW w:w="1196" w:type="dxa"/>
            <w:vAlign w:val="center"/>
          </w:tcPr>
          <w:p>
            <w:pPr>
              <w:jc w:val="center"/>
              <w:rPr>
                <w:rFonts w:ascii="仿宋" w:hAnsi="仿宋" w:eastAsia="仿宋" w:cs="仿宋"/>
                <w:sz w:val="24"/>
                <w:szCs w:val="24"/>
              </w:rPr>
            </w:pPr>
            <w:r>
              <w:rPr>
                <w:rFonts w:hint="eastAsia" w:ascii="仿宋" w:hAnsi="仿宋" w:eastAsia="仿宋" w:cs="仿宋"/>
              </w:rPr>
              <w:t>产品名称</w:t>
            </w:r>
          </w:p>
        </w:tc>
        <w:tc>
          <w:tcPr>
            <w:tcW w:w="1258" w:type="dxa"/>
            <w:vAlign w:val="center"/>
          </w:tcPr>
          <w:p>
            <w:pPr>
              <w:jc w:val="center"/>
              <w:rPr>
                <w:rFonts w:ascii="仿宋" w:hAnsi="仿宋" w:eastAsia="仿宋" w:cs="仿宋"/>
              </w:rPr>
            </w:pPr>
            <w:r>
              <w:rPr>
                <w:rFonts w:hint="eastAsia" w:ascii="仿宋" w:hAnsi="仿宋" w:eastAsia="仿宋" w:cs="仿宋"/>
                <w:kern w:val="0"/>
                <w:szCs w:val="21"/>
              </w:rPr>
              <w:t>品牌及产地</w:t>
            </w:r>
          </w:p>
        </w:tc>
        <w:tc>
          <w:tcPr>
            <w:tcW w:w="1435" w:type="dxa"/>
            <w:vAlign w:val="center"/>
          </w:tcPr>
          <w:p>
            <w:pPr>
              <w:jc w:val="center"/>
              <w:rPr>
                <w:rFonts w:ascii="仿宋" w:hAnsi="仿宋" w:eastAsia="仿宋" w:cs="仿宋"/>
              </w:rPr>
            </w:pPr>
            <w:r>
              <w:rPr>
                <w:rFonts w:hint="eastAsia" w:ascii="仿宋" w:hAnsi="仿宋" w:eastAsia="仿宋" w:cs="仿宋"/>
              </w:rPr>
              <w:t>制造商名称</w:t>
            </w:r>
          </w:p>
        </w:tc>
        <w:tc>
          <w:tcPr>
            <w:tcW w:w="851" w:type="dxa"/>
            <w:vAlign w:val="center"/>
          </w:tcPr>
          <w:p>
            <w:pPr>
              <w:jc w:val="center"/>
              <w:rPr>
                <w:rFonts w:ascii="仿宋" w:hAnsi="仿宋" w:eastAsia="仿宋" w:cs="仿宋"/>
              </w:rPr>
            </w:pPr>
            <w:r>
              <w:rPr>
                <w:rFonts w:hint="eastAsia" w:ascii="仿宋" w:hAnsi="仿宋" w:eastAsia="仿宋" w:cs="仿宋"/>
              </w:rPr>
              <w:t>规格型号</w:t>
            </w:r>
          </w:p>
        </w:tc>
        <w:tc>
          <w:tcPr>
            <w:tcW w:w="992" w:type="dxa"/>
            <w:vAlign w:val="center"/>
          </w:tcPr>
          <w:p>
            <w:pPr>
              <w:jc w:val="center"/>
              <w:rPr>
                <w:rFonts w:ascii="仿宋" w:hAnsi="仿宋" w:eastAsia="仿宋" w:cs="仿宋"/>
                <w:sz w:val="24"/>
                <w:szCs w:val="24"/>
              </w:rPr>
            </w:pPr>
            <w:r>
              <w:rPr>
                <w:rFonts w:hint="eastAsia" w:ascii="仿宋" w:hAnsi="仿宋" w:eastAsia="仿宋" w:cs="仿宋"/>
              </w:rPr>
              <w:t>数量</w:t>
            </w:r>
          </w:p>
        </w:tc>
        <w:tc>
          <w:tcPr>
            <w:tcW w:w="1295" w:type="dxa"/>
            <w:vAlign w:val="center"/>
          </w:tcPr>
          <w:p>
            <w:pPr>
              <w:jc w:val="center"/>
              <w:rPr>
                <w:rFonts w:ascii="仿宋" w:hAnsi="仿宋" w:eastAsia="仿宋" w:cs="仿宋"/>
              </w:rPr>
            </w:pPr>
            <w:r>
              <w:rPr>
                <w:rFonts w:hint="eastAsia" w:ascii="仿宋" w:hAnsi="仿宋" w:eastAsia="仿宋" w:cs="仿宋"/>
              </w:rPr>
              <w:t>单价</w:t>
            </w:r>
          </w:p>
          <w:p>
            <w:pPr>
              <w:jc w:val="center"/>
              <w:rPr>
                <w:rFonts w:ascii="仿宋" w:hAnsi="仿宋" w:eastAsia="仿宋" w:cs="仿宋"/>
                <w:sz w:val="24"/>
                <w:szCs w:val="24"/>
              </w:rPr>
            </w:pPr>
            <w:r>
              <w:rPr>
                <w:rFonts w:hint="eastAsia" w:ascii="仿宋" w:hAnsi="仿宋" w:eastAsia="仿宋" w:cs="仿宋"/>
              </w:rPr>
              <w:t>(元）</w:t>
            </w:r>
          </w:p>
        </w:tc>
        <w:tc>
          <w:tcPr>
            <w:tcW w:w="1417" w:type="dxa"/>
            <w:vAlign w:val="center"/>
          </w:tcPr>
          <w:p>
            <w:pPr>
              <w:jc w:val="center"/>
              <w:rPr>
                <w:rFonts w:ascii="仿宋" w:hAnsi="仿宋" w:eastAsia="仿宋" w:cs="仿宋"/>
              </w:rPr>
            </w:pPr>
            <w:r>
              <w:rPr>
                <w:rFonts w:hint="eastAsia" w:ascii="仿宋" w:hAnsi="仿宋" w:eastAsia="仿宋" w:cs="仿宋"/>
              </w:rPr>
              <w:t>合计</w:t>
            </w:r>
          </w:p>
          <w:p>
            <w:pPr>
              <w:jc w:val="center"/>
              <w:rPr>
                <w:rFonts w:ascii="仿宋" w:hAnsi="仿宋" w:eastAsia="仿宋" w:cs="仿宋"/>
                <w:sz w:val="24"/>
                <w:szCs w:val="24"/>
              </w:rPr>
            </w:pPr>
            <w:r>
              <w:rPr>
                <w:rFonts w:hint="eastAsia" w:ascii="仿宋" w:hAnsi="仿宋" w:eastAsia="仿宋" w:cs="仿宋"/>
              </w:rPr>
              <w:t>(元）</w:t>
            </w:r>
          </w:p>
        </w:tc>
        <w:tc>
          <w:tcPr>
            <w:tcW w:w="1134" w:type="dxa"/>
            <w:vAlign w:val="center"/>
          </w:tcPr>
          <w:p>
            <w:pPr>
              <w:jc w:val="center"/>
              <w:rPr>
                <w:rFonts w:ascii="仿宋" w:hAnsi="仿宋" w:eastAsia="仿宋" w:cs="仿宋"/>
                <w:sz w:val="24"/>
                <w:szCs w:val="24"/>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611"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196"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258"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435" w:type="dxa"/>
            <w:tcBorders>
              <w:bottom w:val="single" w:color="auto" w:sz="4" w:space="0"/>
            </w:tcBorders>
            <w:vAlign w:val="center"/>
          </w:tcPr>
          <w:p>
            <w:pPr>
              <w:spacing w:line="500" w:lineRule="exact"/>
              <w:jc w:val="center"/>
              <w:rPr>
                <w:rFonts w:ascii="仿宋" w:hAnsi="仿宋" w:eastAsia="仿宋" w:cs="仿宋"/>
                <w:sz w:val="24"/>
                <w:szCs w:val="28"/>
              </w:rPr>
            </w:pPr>
          </w:p>
        </w:tc>
        <w:tc>
          <w:tcPr>
            <w:tcW w:w="851" w:type="dxa"/>
            <w:tcBorders>
              <w:bottom w:val="single" w:color="auto" w:sz="4" w:space="0"/>
            </w:tcBorders>
            <w:vAlign w:val="center"/>
          </w:tcPr>
          <w:p>
            <w:pPr>
              <w:spacing w:line="500" w:lineRule="exact"/>
              <w:jc w:val="center"/>
              <w:rPr>
                <w:rFonts w:ascii="仿宋" w:hAnsi="仿宋" w:eastAsia="仿宋" w:cs="仿宋"/>
                <w:sz w:val="24"/>
                <w:szCs w:val="28"/>
              </w:rPr>
            </w:pPr>
          </w:p>
        </w:tc>
        <w:tc>
          <w:tcPr>
            <w:tcW w:w="992"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295"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417"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134" w:type="dxa"/>
            <w:tcBorders>
              <w:bottom w:val="single" w:color="auto" w:sz="4" w:space="0"/>
            </w:tcBorders>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11" w:type="dxa"/>
            <w:vAlign w:val="center"/>
          </w:tcPr>
          <w:p>
            <w:pPr>
              <w:spacing w:line="500" w:lineRule="exact"/>
              <w:jc w:val="center"/>
              <w:rPr>
                <w:rFonts w:ascii="仿宋" w:hAnsi="仿宋" w:eastAsia="仿宋" w:cs="仿宋"/>
                <w:sz w:val="24"/>
                <w:szCs w:val="28"/>
              </w:rPr>
            </w:pPr>
          </w:p>
        </w:tc>
        <w:tc>
          <w:tcPr>
            <w:tcW w:w="1196" w:type="dxa"/>
            <w:vAlign w:val="center"/>
          </w:tcPr>
          <w:p>
            <w:pPr>
              <w:spacing w:line="500" w:lineRule="exact"/>
              <w:jc w:val="center"/>
              <w:rPr>
                <w:rFonts w:ascii="仿宋" w:hAnsi="仿宋" w:eastAsia="仿宋" w:cs="仿宋"/>
                <w:sz w:val="24"/>
                <w:szCs w:val="28"/>
              </w:rPr>
            </w:pPr>
          </w:p>
        </w:tc>
        <w:tc>
          <w:tcPr>
            <w:tcW w:w="1258" w:type="dxa"/>
            <w:vAlign w:val="center"/>
          </w:tcPr>
          <w:p>
            <w:pPr>
              <w:spacing w:line="500" w:lineRule="exact"/>
              <w:jc w:val="center"/>
              <w:rPr>
                <w:rFonts w:ascii="仿宋" w:hAnsi="仿宋" w:eastAsia="仿宋" w:cs="仿宋"/>
                <w:sz w:val="24"/>
                <w:szCs w:val="28"/>
              </w:rPr>
            </w:pPr>
          </w:p>
        </w:tc>
        <w:tc>
          <w:tcPr>
            <w:tcW w:w="1435" w:type="dxa"/>
            <w:vAlign w:val="center"/>
          </w:tcPr>
          <w:p>
            <w:pPr>
              <w:spacing w:line="500" w:lineRule="exact"/>
              <w:jc w:val="center"/>
              <w:rPr>
                <w:rFonts w:ascii="仿宋" w:hAnsi="仿宋" w:eastAsia="仿宋" w:cs="仿宋"/>
                <w:sz w:val="24"/>
                <w:szCs w:val="28"/>
              </w:rPr>
            </w:pPr>
          </w:p>
        </w:tc>
        <w:tc>
          <w:tcPr>
            <w:tcW w:w="851" w:type="dxa"/>
            <w:vAlign w:val="center"/>
          </w:tcPr>
          <w:p>
            <w:pPr>
              <w:spacing w:line="500" w:lineRule="exact"/>
              <w:jc w:val="center"/>
              <w:rPr>
                <w:rFonts w:ascii="仿宋" w:hAnsi="仿宋" w:eastAsia="仿宋" w:cs="仿宋"/>
                <w:sz w:val="24"/>
                <w:szCs w:val="28"/>
              </w:rPr>
            </w:pPr>
          </w:p>
        </w:tc>
        <w:tc>
          <w:tcPr>
            <w:tcW w:w="992" w:type="dxa"/>
            <w:vAlign w:val="center"/>
          </w:tcPr>
          <w:p>
            <w:pPr>
              <w:spacing w:line="500" w:lineRule="exact"/>
              <w:jc w:val="center"/>
              <w:rPr>
                <w:rFonts w:ascii="仿宋" w:hAnsi="仿宋" w:eastAsia="仿宋" w:cs="仿宋"/>
                <w:sz w:val="24"/>
                <w:szCs w:val="28"/>
              </w:rPr>
            </w:pPr>
          </w:p>
        </w:tc>
        <w:tc>
          <w:tcPr>
            <w:tcW w:w="1295" w:type="dxa"/>
            <w:vAlign w:val="center"/>
          </w:tcPr>
          <w:p>
            <w:pPr>
              <w:spacing w:line="500" w:lineRule="exact"/>
              <w:jc w:val="center"/>
              <w:rPr>
                <w:rFonts w:ascii="仿宋" w:hAnsi="仿宋" w:eastAsia="仿宋" w:cs="仿宋"/>
                <w:sz w:val="24"/>
                <w:szCs w:val="28"/>
              </w:rPr>
            </w:pPr>
          </w:p>
        </w:tc>
        <w:tc>
          <w:tcPr>
            <w:tcW w:w="1417" w:type="dxa"/>
            <w:vAlign w:val="center"/>
          </w:tcPr>
          <w:p>
            <w:pPr>
              <w:spacing w:line="500" w:lineRule="exact"/>
              <w:jc w:val="center"/>
              <w:rPr>
                <w:rFonts w:ascii="仿宋" w:hAnsi="仿宋" w:eastAsia="仿宋" w:cs="仿宋"/>
                <w:sz w:val="24"/>
                <w:szCs w:val="28"/>
              </w:rPr>
            </w:pPr>
          </w:p>
        </w:tc>
        <w:tc>
          <w:tcPr>
            <w:tcW w:w="1134" w:type="dxa"/>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611" w:type="dxa"/>
            <w:vAlign w:val="center"/>
          </w:tcPr>
          <w:p>
            <w:pPr>
              <w:spacing w:line="500" w:lineRule="exact"/>
              <w:jc w:val="center"/>
              <w:rPr>
                <w:rFonts w:ascii="仿宋" w:hAnsi="仿宋" w:eastAsia="仿宋" w:cs="仿宋"/>
                <w:sz w:val="24"/>
                <w:szCs w:val="28"/>
              </w:rPr>
            </w:pPr>
          </w:p>
        </w:tc>
        <w:tc>
          <w:tcPr>
            <w:tcW w:w="1196" w:type="dxa"/>
            <w:vAlign w:val="center"/>
          </w:tcPr>
          <w:p>
            <w:pPr>
              <w:spacing w:line="500" w:lineRule="exact"/>
              <w:jc w:val="center"/>
              <w:rPr>
                <w:rFonts w:ascii="仿宋" w:hAnsi="仿宋" w:eastAsia="仿宋" w:cs="仿宋"/>
                <w:sz w:val="24"/>
                <w:szCs w:val="28"/>
              </w:rPr>
            </w:pPr>
          </w:p>
        </w:tc>
        <w:tc>
          <w:tcPr>
            <w:tcW w:w="1258" w:type="dxa"/>
            <w:vAlign w:val="center"/>
          </w:tcPr>
          <w:p>
            <w:pPr>
              <w:spacing w:line="500" w:lineRule="exact"/>
              <w:jc w:val="center"/>
              <w:rPr>
                <w:rFonts w:ascii="仿宋" w:hAnsi="仿宋" w:eastAsia="仿宋" w:cs="仿宋"/>
                <w:sz w:val="24"/>
                <w:szCs w:val="28"/>
              </w:rPr>
            </w:pPr>
          </w:p>
        </w:tc>
        <w:tc>
          <w:tcPr>
            <w:tcW w:w="1435" w:type="dxa"/>
            <w:vAlign w:val="center"/>
          </w:tcPr>
          <w:p>
            <w:pPr>
              <w:spacing w:line="500" w:lineRule="exact"/>
              <w:jc w:val="center"/>
              <w:rPr>
                <w:rFonts w:ascii="仿宋" w:hAnsi="仿宋" w:eastAsia="仿宋" w:cs="仿宋"/>
                <w:sz w:val="24"/>
                <w:szCs w:val="28"/>
              </w:rPr>
            </w:pPr>
          </w:p>
        </w:tc>
        <w:tc>
          <w:tcPr>
            <w:tcW w:w="851" w:type="dxa"/>
            <w:vAlign w:val="center"/>
          </w:tcPr>
          <w:p>
            <w:pPr>
              <w:spacing w:line="500" w:lineRule="exact"/>
              <w:jc w:val="center"/>
              <w:rPr>
                <w:rFonts w:ascii="仿宋" w:hAnsi="仿宋" w:eastAsia="仿宋" w:cs="仿宋"/>
                <w:sz w:val="24"/>
                <w:szCs w:val="28"/>
              </w:rPr>
            </w:pPr>
          </w:p>
        </w:tc>
        <w:tc>
          <w:tcPr>
            <w:tcW w:w="992" w:type="dxa"/>
            <w:vAlign w:val="center"/>
          </w:tcPr>
          <w:p>
            <w:pPr>
              <w:spacing w:line="500" w:lineRule="exact"/>
              <w:jc w:val="center"/>
              <w:rPr>
                <w:rFonts w:ascii="仿宋" w:hAnsi="仿宋" w:eastAsia="仿宋" w:cs="仿宋"/>
                <w:sz w:val="24"/>
                <w:szCs w:val="28"/>
              </w:rPr>
            </w:pPr>
          </w:p>
        </w:tc>
        <w:tc>
          <w:tcPr>
            <w:tcW w:w="1295" w:type="dxa"/>
            <w:vAlign w:val="center"/>
          </w:tcPr>
          <w:p>
            <w:pPr>
              <w:spacing w:line="500" w:lineRule="exact"/>
              <w:jc w:val="center"/>
              <w:rPr>
                <w:rFonts w:ascii="仿宋" w:hAnsi="仿宋" w:eastAsia="仿宋" w:cs="仿宋"/>
                <w:sz w:val="24"/>
                <w:szCs w:val="28"/>
              </w:rPr>
            </w:pPr>
          </w:p>
        </w:tc>
        <w:tc>
          <w:tcPr>
            <w:tcW w:w="1417" w:type="dxa"/>
            <w:vAlign w:val="center"/>
          </w:tcPr>
          <w:p>
            <w:pPr>
              <w:spacing w:line="500" w:lineRule="exact"/>
              <w:jc w:val="center"/>
              <w:rPr>
                <w:rFonts w:ascii="仿宋" w:hAnsi="仿宋" w:eastAsia="仿宋" w:cs="仿宋"/>
                <w:sz w:val="24"/>
                <w:szCs w:val="28"/>
              </w:rPr>
            </w:pPr>
          </w:p>
        </w:tc>
        <w:tc>
          <w:tcPr>
            <w:tcW w:w="1134" w:type="dxa"/>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11"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196"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258"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435" w:type="dxa"/>
            <w:tcBorders>
              <w:bottom w:val="single" w:color="auto" w:sz="4" w:space="0"/>
            </w:tcBorders>
            <w:vAlign w:val="center"/>
          </w:tcPr>
          <w:p>
            <w:pPr>
              <w:spacing w:line="500" w:lineRule="exact"/>
              <w:jc w:val="center"/>
              <w:rPr>
                <w:rFonts w:ascii="仿宋" w:hAnsi="仿宋" w:eastAsia="仿宋" w:cs="仿宋"/>
                <w:sz w:val="24"/>
                <w:szCs w:val="28"/>
              </w:rPr>
            </w:pPr>
          </w:p>
        </w:tc>
        <w:tc>
          <w:tcPr>
            <w:tcW w:w="851" w:type="dxa"/>
            <w:tcBorders>
              <w:bottom w:val="single" w:color="auto" w:sz="4" w:space="0"/>
            </w:tcBorders>
            <w:vAlign w:val="center"/>
          </w:tcPr>
          <w:p>
            <w:pPr>
              <w:spacing w:line="500" w:lineRule="exact"/>
              <w:jc w:val="center"/>
              <w:rPr>
                <w:rFonts w:ascii="仿宋" w:hAnsi="仿宋" w:eastAsia="仿宋" w:cs="仿宋"/>
                <w:sz w:val="24"/>
                <w:szCs w:val="28"/>
              </w:rPr>
            </w:pPr>
          </w:p>
        </w:tc>
        <w:tc>
          <w:tcPr>
            <w:tcW w:w="992"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295"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417" w:type="dxa"/>
            <w:tcBorders>
              <w:bottom w:val="single" w:color="auto" w:sz="4" w:space="0"/>
            </w:tcBorders>
            <w:vAlign w:val="center"/>
          </w:tcPr>
          <w:p>
            <w:pPr>
              <w:spacing w:line="500" w:lineRule="exact"/>
              <w:jc w:val="center"/>
              <w:rPr>
                <w:rFonts w:ascii="仿宋" w:hAnsi="仿宋" w:eastAsia="仿宋" w:cs="仿宋"/>
                <w:sz w:val="24"/>
                <w:szCs w:val="28"/>
              </w:rPr>
            </w:pPr>
          </w:p>
        </w:tc>
        <w:tc>
          <w:tcPr>
            <w:tcW w:w="1134" w:type="dxa"/>
            <w:tcBorders>
              <w:bottom w:val="single" w:color="auto" w:sz="4" w:space="0"/>
            </w:tcBorders>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611" w:type="dxa"/>
            <w:vAlign w:val="center"/>
          </w:tcPr>
          <w:p>
            <w:pPr>
              <w:spacing w:line="500" w:lineRule="exact"/>
              <w:jc w:val="center"/>
              <w:rPr>
                <w:rFonts w:ascii="仿宋" w:hAnsi="仿宋" w:eastAsia="仿宋" w:cs="仿宋"/>
                <w:sz w:val="24"/>
                <w:szCs w:val="28"/>
              </w:rPr>
            </w:pPr>
          </w:p>
        </w:tc>
        <w:tc>
          <w:tcPr>
            <w:tcW w:w="1196" w:type="dxa"/>
            <w:vAlign w:val="center"/>
          </w:tcPr>
          <w:p>
            <w:pPr>
              <w:spacing w:line="500" w:lineRule="exact"/>
              <w:jc w:val="center"/>
              <w:rPr>
                <w:rFonts w:ascii="仿宋" w:hAnsi="仿宋" w:eastAsia="仿宋" w:cs="仿宋"/>
                <w:sz w:val="24"/>
                <w:szCs w:val="28"/>
              </w:rPr>
            </w:pPr>
          </w:p>
        </w:tc>
        <w:tc>
          <w:tcPr>
            <w:tcW w:w="1258" w:type="dxa"/>
            <w:vAlign w:val="center"/>
          </w:tcPr>
          <w:p>
            <w:pPr>
              <w:spacing w:line="500" w:lineRule="exact"/>
              <w:jc w:val="center"/>
              <w:rPr>
                <w:rFonts w:ascii="仿宋" w:hAnsi="仿宋" w:eastAsia="仿宋" w:cs="仿宋"/>
                <w:sz w:val="24"/>
                <w:szCs w:val="28"/>
              </w:rPr>
            </w:pPr>
          </w:p>
        </w:tc>
        <w:tc>
          <w:tcPr>
            <w:tcW w:w="1435" w:type="dxa"/>
            <w:vAlign w:val="center"/>
          </w:tcPr>
          <w:p>
            <w:pPr>
              <w:spacing w:line="500" w:lineRule="exact"/>
              <w:jc w:val="center"/>
              <w:rPr>
                <w:rFonts w:ascii="仿宋" w:hAnsi="仿宋" w:eastAsia="仿宋" w:cs="仿宋"/>
                <w:sz w:val="24"/>
                <w:szCs w:val="28"/>
              </w:rPr>
            </w:pPr>
          </w:p>
        </w:tc>
        <w:tc>
          <w:tcPr>
            <w:tcW w:w="851" w:type="dxa"/>
            <w:vAlign w:val="center"/>
          </w:tcPr>
          <w:p>
            <w:pPr>
              <w:spacing w:line="500" w:lineRule="exact"/>
              <w:jc w:val="center"/>
              <w:rPr>
                <w:rFonts w:ascii="仿宋" w:hAnsi="仿宋" w:eastAsia="仿宋" w:cs="仿宋"/>
                <w:sz w:val="24"/>
                <w:szCs w:val="28"/>
              </w:rPr>
            </w:pPr>
          </w:p>
        </w:tc>
        <w:tc>
          <w:tcPr>
            <w:tcW w:w="992" w:type="dxa"/>
            <w:vAlign w:val="center"/>
          </w:tcPr>
          <w:p>
            <w:pPr>
              <w:spacing w:line="500" w:lineRule="exact"/>
              <w:jc w:val="center"/>
              <w:rPr>
                <w:rFonts w:ascii="仿宋" w:hAnsi="仿宋" w:eastAsia="仿宋" w:cs="仿宋"/>
                <w:sz w:val="24"/>
                <w:szCs w:val="28"/>
              </w:rPr>
            </w:pPr>
          </w:p>
        </w:tc>
        <w:tc>
          <w:tcPr>
            <w:tcW w:w="1295" w:type="dxa"/>
            <w:vAlign w:val="center"/>
          </w:tcPr>
          <w:p>
            <w:pPr>
              <w:spacing w:line="500" w:lineRule="exact"/>
              <w:jc w:val="center"/>
              <w:rPr>
                <w:rFonts w:ascii="仿宋" w:hAnsi="仿宋" w:eastAsia="仿宋" w:cs="仿宋"/>
                <w:sz w:val="24"/>
                <w:szCs w:val="28"/>
              </w:rPr>
            </w:pPr>
          </w:p>
        </w:tc>
        <w:tc>
          <w:tcPr>
            <w:tcW w:w="1417" w:type="dxa"/>
            <w:vAlign w:val="center"/>
          </w:tcPr>
          <w:p>
            <w:pPr>
              <w:spacing w:line="500" w:lineRule="exact"/>
              <w:jc w:val="center"/>
              <w:rPr>
                <w:rFonts w:ascii="仿宋" w:hAnsi="仿宋" w:eastAsia="仿宋" w:cs="仿宋"/>
                <w:sz w:val="24"/>
                <w:szCs w:val="28"/>
              </w:rPr>
            </w:pPr>
          </w:p>
        </w:tc>
        <w:tc>
          <w:tcPr>
            <w:tcW w:w="1134" w:type="dxa"/>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11" w:type="dxa"/>
            <w:vAlign w:val="center"/>
          </w:tcPr>
          <w:p>
            <w:pPr>
              <w:spacing w:line="500" w:lineRule="exact"/>
              <w:jc w:val="center"/>
              <w:rPr>
                <w:rFonts w:ascii="仿宋" w:hAnsi="仿宋" w:eastAsia="仿宋" w:cs="仿宋"/>
                <w:sz w:val="24"/>
                <w:szCs w:val="28"/>
              </w:rPr>
            </w:pPr>
          </w:p>
          <w:p>
            <w:pPr>
              <w:spacing w:line="500" w:lineRule="exact"/>
              <w:jc w:val="center"/>
              <w:rPr>
                <w:rFonts w:ascii="仿宋" w:hAnsi="仿宋" w:eastAsia="仿宋" w:cs="仿宋"/>
                <w:sz w:val="24"/>
                <w:szCs w:val="28"/>
              </w:rPr>
            </w:pPr>
          </w:p>
        </w:tc>
        <w:tc>
          <w:tcPr>
            <w:tcW w:w="1196" w:type="dxa"/>
            <w:vAlign w:val="center"/>
          </w:tcPr>
          <w:p>
            <w:pPr>
              <w:spacing w:line="500" w:lineRule="exact"/>
              <w:jc w:val="center"/>
              <w:rPr>
                <w:rFonts w:ascii="仿宋" w:hAnsi="仿宋" w:eastAsia="仿宋" w:cs="仿宋"/>
                <w:sz w:val="24"/>
                <w:szCs w:val="28"/>
              </w:rPr>
            </w:pPr>
          </w:p>
          <w:p>
            <w:pPr>
              <w:spacing w:line="500" w:lineRule="exact"/>
              <w:jc w:val="center"/>
              <w:rPr>
                <w:rFonts w:ascii="仿宋" w:hAnsi="仿宋" w:eastAsia="仿宋" w:cs="仿宋"/>
                <w:sz w:val="24"/>
                <w:szCs w:val="28"/>
              </w:rPr>
            </w:pPr>
          </w:p>
        </w:tc>
        <w:tc>
          <w:tcPr>
            <w:tcW w:w="1258" w:type="dxa"/>
            <w:vAlign w:val="center"/>
          </w:tcPr>
          <w:p>
            <w:pPr>
              <w:spacing w:line="500" w:lineRule="exact"/>
              <w:jc w:val="center"/>
              <w:rPr>
                <w:rFonts w:ascii="仿宋" w:hAnsi="仿宋" w:eastAsia="仿宋" w:cs="仿宋"/>
                <w:sz w:val="24"/>
                <w:szCs w:val="28"/>
              </w:rPr>
            </w:pPr>
          </w:p>
        </w:tc>
        <w:tc>
          <w:tcPr>
            <w:tcW w:w="1435" w:type="dxa"/>
            <w:vAlign w:val="center"/>
          </w:tcPr>
          <w:p>
            <w:pPr>
              <w:spacing w:line="500" w:lineRule="exact"/>
              <w:jc w:val="center"/>
              <w:rPr>
                <w:rFonts w:ascii="仿宋" w:hAnsi="仿宋" w:eastAsia="仿宋" w:cs="仿宋"/>
                <w:sz w:val="24"/>
                <w:szCs w:val="28"/>
              </w:rPr>
            </w:pPr>
          </w:p>
        </w:tc>
        <w:tc>
          <w:tcPr>
            <w:tcW w:w="851" w:type="dxa"/>
            <w:vAlign w:val="center"/>
          </w:tcPr>
          <w:p>
            <w:pPr>
              <w:spacing w:line="500" w:lineRule="exact"/>
              <w:jc w:val="center"/>
              <w:rPr>
                <w:rFonts w:ascii="仿宋" w:hAnsi="仿宋" w:eastAsia="仿宋" w:cs="仿宋"/>
                <w:sz w:val="24"/>
                <w:szCs w:val="28"/>
              </w:rPr>
            </w:pPr>
          </w:p>
        </w:tc>
        <w:tc>
          <w:tcPr>
            <w:tcW w:w="992" w:type="dxa"/>
            <w:vAlign w:val="center"/>
          </w:tcPr>
          <w:p>
            <w:pPr>
              <w:spacing w:line="500" w:lineRule="exact"/>
              <w:jc w:val="center"/>
              <w:rPr>
                <w:rFonts w:ascii="仿宋" w:hAnsi="仿宋" w:eastAsia="仿宋" w:cs="仿宋"/>
                <w:sz w:val="24"/>
                <w:szCs w:val="28"/>
              </w:rPr>
            </w:pPr>
          </w:p>
        </w:tc>
        <w:tc>
          <w:tcPr>
            <w:tcW w:w="1295" w:type="dxa"/>
            <w:vAlign w:val="center"/>
          </w:tcPr>
          <w:p>
            <w:pPr>
              <w:spacing w:line="500" w:lineRule="exact"/>
              <w:jc w:val="center"/>
              <w:rPr>
                <w:rFonts w:ascii="仿宋" w:hAnsi="仿宋" w:eastAsia="仿宋" w:cs="仿宋"/>
                <w:sz w:val="24"/>
                <w:szCs w:val="28"/>
              </w:rPr>
            </w:pPr>
          </w:p>
        </w:tc>
        <w:tc>
          <w:tcPr>
            <w:tcW w:w="1417" w:type="dxa"/>
            <w:vAlign w:val="center"/>
          </w:tcPr>
          <w:p>
            <w:pPr>
              <w:spacing w:line="500" w:lineRule="exact"/>
              <w:jc w:val="center"/>
              <w:rPr>
                <w:rFonts w:ascii="仿宋" w:hAnsi="仿宋" w:eastAsia="仿宋" w:cs="仿宋"/>
                <w:sz w:val="24"/>
                <w:szCs w:val="28"/>
              </w:rPr>
            </w:pPr>
          </w:p>
        </w:tc>
        <w:tc>
          <w:tcPr>
            <w:tcW w:w="1134" w:type="dxa"/>
            <w:vAlign w:val="center"/>
          </w:tcPr>
          <w:p>
            <w:pPr>
              <w:spacing w:line="500" w:lineRule="exact"/>
              <w:jc w:val="center"/>
              <w:rPr>
                <w:rFonts w:ascii="仿宋" w:hAnsi="仿宋" w:eastAsia="仿宋" w:cs="仿宋"/>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611"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196"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258"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435"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851" w:type="dxa"/>
            <w:vAlign w:val="center"/>
          </w:tcPr>
          <w:p>
            <w:pPr>
              <w:spacing w:line="500" w:lineRule="exact"/>
              <w:jc w:val="center"/>
              <w:rPr>
                <w:rFonts w:ascii="仿宋" w:hAnsi="仿宋" w:eastAsia="仿宋" w:cs="仿宋"/>
                <w:sz w:val="24"/>
                <w:szCs w:val="28"/>
              </w:rPr>
            </w:pPr>
          </w:p>
        </w:tc>
        <w:tc>
          <w:tcPr>
            <w:tcW w:w="992"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295"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417"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c>
          <w:tcPr>
            <w:tcW w:w="1134" w:type="dxa"/>
            <w:vAlign w:val="center"/>
          </w:tcPr>
          <w:p>
            <w:pPr>
              <w:spacing w:line="500" w:lineRule="exact"/>
              <w:jc w:val="center"/>
              <w:rPr>
                <w:rFonts w:ascii="仿宋" w:hAnsi="仿宋" w:eastAsia="仿宋" w:cs="仿宋"/>
                <w:sz w:val="24"/>
                <w:szCs w:val="28"/>
              </w:rPr>
            </w:pPr>
            <w:r>
              <w:rPr>
                <w:rFonts w:hint="eastAsia" w:ascii="仿宋" w:hAnsi="仿宋" w:eastAsia="仿宋" w:cs="仿宋"/>
                <w:sz w:val="24"/>
                <w:szCs w:val="28"/>
              </w:rPr>
              <w:t>……</w:t>
            </w:r>
          </w:p>
        </w:tc>
      </w:tr>
    </w:tbl>
    <w:p>
      <w:pPr>
        <w:snapToGrid w:val="0"/>
        <w:spacing w:line="500" w:lineRule="exact"/>
        <w:ind w:firstLine="480" w:firstLineChars="200"/>
        <w:rPr>
          <w:rFonts w:ascii="仿宋" w:hAnsi="仿宋" w:eastAsia="仿宋" w:cs="仿宋"/>
          <w:sz w:val="24"/>
          <w:szCs w:val="28"/>
        </w:rPr>
      </w:pPr>
    </w:p>
    <w:p>
      <w:pPr>
        <w:snapToGrid w:val="0"/>
        <w:spacing w:line="500" w:lineRule="exact"/>
        <w:ind w:firstLine="482" w:firstLineChars="200"/>
        <w:rPr>
          <w:rFonts w:ascii="仿宋" w:hAnsi="仿宋" w:eastAsia="仿宋" w:cs="仿宋"/>
          <w:b/>
          <w:sz w:val="24"/>
          <w:szCs w:val="28"/>
        </w:rPr>
      </w:pPr>
      <w:r>
        <w:rPr>
          <w:rFonts w:hint="eastAsia" w:ascii="仿宋" w:hAnsi="仿宋" w:eastAsia="仿宋" w:cs="仿宋"/>
          <w:b/>
          <w:sz w:val="24"/>
          <w:szCs w:val="28"/>
        </w:rPr>
        <w:t>注：1、请供应商根据项目采购需求完整填写本表，仔细核对总价和明细报价合计是否相符。</w:t>
      </w:r>
    </w:p>
    <w:p>
      <w:pPr>
        <w:snapToGrid w:val="0"/>
        <w:spacing w:line="500" w:lineRule="exact"/>
        <w:ind w:firstLine="954" w:firstLineChars="396"/>
        <w:rPr>
          <w:rFonts w:ascii="仿宋" w:hAnsi="仿宋" w:eastAsia="仿宋" w:cs="仿宋"/>
          <w:b/>
          <w:sz w:val="24"/>
          <w:szCs w:val="28"/>
        </w:rPr>
      </w:pPr>
      <w:r>
        <w:rPr>
          <w:rFonts w:hint="eastAsia" w:ascii="仿宋" w:hAnsi="仿宋" w:eastAsia="仿宋" w:cs="仿宋"/>
          <w:b/>
          <w:sz w:val="24"/>
          <w:szCs w:val="28"/>
        </w:rPr>
        <w:t>2、本表除备注外均必须填写 ，否则投标无效。</w:t>
      </w:r>
    </w:p>
    <w:p>
      <w:pPr>
        <w:snapToGrid w:val="0"/>
        <w:spacing w:line="500" w:lineRule="exact"/>
        <w:ind w:firstLine="482" w:firstLineChars="200"/>
        <w:rPr>
          <w:rFonts w:ascii="仿宋" w:hAnsi="仿宋" w:eastAsia="仿宋" w:cs="仿宋"/>
          <w:b/>
          <w:sz w:val="24"/>
          <w:szCs w:val="28"/>
        </w:rPr>
      </w:pPr>
      <w:r>
        <w:rPr>
          <w:rFonts w:hint="eastAsia" w:ascii="仿宋" w:hAnsi="仿宋" w:eastAsia="仿宋" w:cs="仿宋"/>
          <w:b/>
          <w:sz w:val="24"/>
          <w:szCs w:val="28"/>
        </w:rPr>
        <w:t xml:space="preserve">    3、</w:t>
      </w:r>
      <w:bookmarkStart w:id="200" w:name="OLE_LINK2"/>
      <w:bookmarkStart w:id="201" w:name="OLE_LINK1"/>
      <w:r>
        <w:rPr>
          <w:rFonts w:hint="eastAsia" w:ascii="仿宋" w:hAnsi="仿宋" w:eastAsia="仿宋" w:cs="仿宋"/>
          <w:b/>
          <w:sz w:val="24"/>
          <w:szCs w:val="28"/>
        </w:rPr>
        <w:t>本表必须逐页签字或盖章，否则投标无效。</w:t>
      </w:r>
      <w:bookmarkEnd w:id="200"/>
      <w:bookmarkEnd w:id="201"/>
    </w:p>
    <w:p>
      <w:pPr>
        <w:spacing w:after="200" w:line="360" w:lineRule="auto"/>
        <w:ind w:firstLine="480" w:firstLineChars="200"/>
        <w:jc w:val="center"/>
        <w:rPr>
          <w:rFonts w:ascii="仿宋" w:hAnsi="仿宋" w:eastAsia="仿宋" w:cs="仿宋"/>
          <w:sz w:val="24"/>
          <w:szCs w:val="24"/>
        </w:rPr>
      </w:pPr>
    </w:p>
    <w:p>
      <w:pPr>
        <w:spacing w:after="200" w:line="360" w:lineRule="auto"/>
        <w:ind w:firstLine="480" w:firstLineChars="200"/>
        <w:jc w:val="center"/>
        <w:rPr>
          <w:rFonts w:ascii="仿宋" w:hAnsi="仿宋" w:eastAsia="仿宋" w:cs="仿宋"/>
          <w:sz w:val="24"/>
          <w:szCs w:val="24"/>
        </w:rPr>
      </w:pPr>
    </w:p>
    <w:p>
      <w:pPr>
        <w:spacing w:line="360" w:lineRule="auto"/>
        <w:ind w:firstLine="480" w:firstLineChars="200"/>
        <w:rPr>
          <w:rFonts w:ascii="仿宋" w:hAnsi="仿宋" w:eastAsia="仿宋" w:cs="仿宋"/>
        </w:rPr>
      </w:pPr>
      <w:r>
        <w:rPr>
          <w:rFonts w:hint="eastAsia" w:ascii="仿宋" w:hAnsi="仿宋" w:eastAsia="仿宋" w:cs="仿宋"/>
          <w:sz w:val="24"/>
          <w:szCs w:val="24"/>
        </w:rPr>
        <w:t xml:space="preserve">                                           供应商名称（公章）：</w:t>
      </w:r>
    </w:p>
    <w:p>
      <w:pPr>
        <w:spacing w:line="360" w:lineRule="auto"/>
        <w:ind w:right="480" w:firstLine="480" w:firstLineChars="200"/>
        <w:jc w:val="right"/>
        <w:rPr>
          <w:rFonts w:ascii="仿宋" w:hAnsi="仿宋" w:eastAsia="仿宋" w:cs="仿宋"/>
          <w:sz w:val="24"/>
          <w:szCs w:val="24"/>
        </w:rPr>
      </w:pPr>
    </w:p>
    <w:p>
      <w:pPr>
        <w:spacing w:line="360" w:lineRule="auto"/>
        <w:ind w:right="480" w:firstLine="480" w:firstLineChars="200"/>
        <w:jc w:val="right"/>
        <w:rPr>
          <w:rFonts w:ascii="仿宋" w:hAnsi="仿宋" w:eastAsia="仿宋" w:cs="仿宋"/>
          <w:sz w:val="24"/>
          <w:szCs w:val="24"/>
        </w:rPr>
      </w:pPr>
    </w:p>
    <w:p>
      <w:pPr>
        <w:spacing w:line="360" w:lineRule="auto"/>
        <w:ind w:right="480" w:firstLine="480" w:firstLineChars="200"/>
        <w:jc w:val="right"/>
        <w:rPr>
          <w:rFonts w:ascii="仿宋" w:hAnsi="仿宋" w:eastAsia="仿宋" w:cs="仿宋"/>
          <w:sz w:val="24"/>
          <w:szCs w:val="24"/>
        </w:rPr>
      </w:pPr>
      <w:r>
        <w:rPr>
          <w:rFonts w:hint="eastAsia" w:ascii="仿宋" w:hAnsi="仿宋" w:eastAsia="仿宋" w:cs="仿宋"/>
          <w:sz w:val="24"/>
          <w:szCs w:val="24"/>
        </w:rPr>
        <w:t>年     月    日</w:t>
      </w:r>
    </w:p>
    <w:p>
      <w:pPr>
        <w:snapToGrid w:val="0"/>
        <w:spacing w:line="360" w:lineRule="auto"/>
        <w:ind w:firstLine="480" w:firstLineChars="200"/>
        <w:rPr>
          <w:rFonts w:ascii="仿宋" w:hAnsi="仿宋" w:eastAsia="仿宋" w:cs="仿宋"/>
          <w:sz w:val="24"/>
          <w:szCs w:val="24"/>
          <w:bdr w:val="single" w:color="auto" w:sz="4" w:space="0"/>
        </w:rPr>
        <w:sectPr>
          <w:headerReference r:id="rId5" w:type="default"/>
          <w:pgSz w:w="11907" w:h="16840"/>
          <w:pgMar w:top="1134" w:right="1191" w:bottom="1134" w:left="1304" w:header="851" w:footer="992" w:gutter="0"/>
          <w:pgNumType w:fmt="numberInDash"/>
          <w:cols w:space="720" w:num="1"/>
          <w:docGrid w:linePitch="380" w:charSpace="-5735"/>
        </w:sectPr>
      </w:pPr>
    </w:p>
    <w:p>
      <w:pPr>
        <w:keepNext/>
        <w:keepLines/>
        <w:spacing w:before="260" w:after="260" w:line="413" w:lineRule="auto"/>
        <w:outlineLvl w:val="1"/>
        <w:rPr>
          <w:rFonts w:ascii="仿宋" w:hAnsi="仿宋" w:eastAsia="仿宋" w:cs="仿宋"/>
          <w:b/>
          <w:bCs/>
          <w:kern w:val="0"/>
          <w:szCs w:val="28"/>
        </w:rPr>
      </w:pPr>
      <w:bookmarkStart w:id="202" w:name="_Toc480979019"/>
      <w:bookmarkStart w:id="203" w:name="_Toc14438"/>
      <w:bookmarkStart w:id="204" w:name="_Toc4732"/>
      <w:bookmarkStart w:id="205" w:name="_Toc313008357"/>
      <w:bookmarkStart w:id="206" w:name="_Toc25684"/>
      <w:bookmarkStart w:id="207" w:name="_Toc12212"/>
      <w:bookmarkStart w:id="208" w:name="_Toc71288801"/>
      <w:bookmarkStart w:id="209" w:name="_Toc30943"/>
      <w:bookmarkStart w:id="210" w:name="_Toc1095"/>
      <w:bookmarkStart w:id="211" w:name="_Toc11405"/>
      <w:bookmarkStart w:id="212" w:name="_Toc485108797"/>
      <w:bookmarkStart w:id="213" w:name="_Toc313888361"/>
      <w:bookmarkStart w:id="214" w:name="_Toc342913420"/>
      <w:bookmarkStart w:id="215" w:name="_Toc77262139"/>
      <w:bookmarkStart w:id="216" w:name="_Toc88838459"/>
      <w:r>
        <w:rPr>
          <w:rFonts w:hint="eastAsia" w:ascii="仿宋" w:hAnsi="仿宋" w:eastAsia="仿宋" w:cs="仿宋"/>
          <w:b/>
          <w:bCs/>
          <w:kern w:val="0"/>
          <w:szCs w:val="28"/>
        </w:rPr>
        <w:t>二、服务部分</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pPr>
        <w:spacing w:after="200" w:line="276" w:lineRule="auto"/>
        <w:rPr>
          <w:rFonts w:ascii="仿宋" w:hAnsi="仿宋" w:eastAsia="仿宋" w:cs="仿宋"/>
          <w:bCs/>
          <w:kern w:val="0"/>
          <w:szCs w:val="28"/>
        </w:rPr>
      </w:pPr>
      <w:r>
        <w:rPr>
          <w:rFonts w:hint="eastAsia" w:ascii="仿宋" w:hAnsi="仿宋" w:eastAsia="仿宋" w:cs="仿宋"/>
          <w:sz w:val="24"/>
          <w:szCs w:val="24"/>
        </w:rPr>
        <w:t>（一）服务响应偏离表</w:t>
      </w:r>
    </w:p>
    <w:p>
      <w:pPr>
        <w:spacing w:after="200" w:line="276" w:lineRule="auto"/>
        <w:rPr>
          <w:rFonts w:ascii="仿宋" w:hAnsi="仿宋" w:eastAsia="仿宋" w:cs="仿宋"/>
          <w:sz w:val="24"/>
        </w:rPr>
      </w:pPr>
      <w:bookmarkStart w:id="217" w:name="_Toc20262"/>
      <w:r>
        <w:rPr>
          <w:rFonts w:hint="eastAsia" w:ascii="仿宋" w:hAnsi="仿宋" w:eastAsia="仿宋" w:cs="仿宋"/>
          <w:sz w:val="24"/>
        </w:rPr>
        <w:t>项目名称：</w:t>
      </w:r>
      <w:bookmarkEnd w:id="217"/>
    </w:p>
    <w:p>
      <w:pPr>
        <w:spacing w:after="200" w:line="276" w:lineRule="auto"/>
        <w:rPr>
          <w:rFonts w:ascii="仿宋" w:hAnsi="仿宋" w:eastAsia="仿宋" w:cs="仿宋"/>
          <w:sz w:val="24"/>
          <w:szCs w:val="24"/>
          <w:u w:val="single"/>
        </w:rPr>
      </w:pPr>
      <w:r>
        <w:rPr>
          <w:rFonts w:hint="eastAsia" w:ascii="仿宋" w:hAnsi="仿宋" w:eastAsia="仿宋" w:cs="仿宋"/>
          <w:sz w:val="24"/>
          <w:szCs w:val="24"/>
        </w:rPr>
        <w:t>项目编号：</w:t>
      </w:r>
    </w:p>
    <w:tbl>
      <w:tblPr>
        <w:tblStyle w:val="17"/>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jc w:val="center"/>
        </w:trPr>
        <w:tc>
          <w:tcPr>
            <w:tcW w:w="1138" w:type="dxa"/>
            <w:vAlign w:val="center"/>
          </w:tcPr>
          <w:p>
            <w:pPr>
              <w:spacing w:after="200" w:line="276" w:lineRule="auto"/>
              <w:rPr>
                <w:rFonts w:ascii="仿宋" w:hAnsi="仿宋" w:eastAsia="仿宋" w:cs="仿宋"/>
                <w:sz w:val="21"/>
                <w:szCs w:val="21"/>
              </w:rPr>
            </w:pPr>
            <w:bookmarkStart w:id="218" w:name="_Toc27031"/>
            <w:r>
              <w:rPr>
                <w:rFonts w:hint="eastAsia" w:ascii="仿宋" w:hAnsi="仿宋" w:eastAsia="仿宋" w:cs="仿宋"/>
                <w:sz w:val="21"/>
                <w:szCs w:val="21"/>
              </w:rPr>
              <w:t>序号</w:t>
            </w:r>
            <w:bookmarkEnd w:id="218"/>
          </w:p>
        </w:tc>
        <w:tc>
          <w:tcPr>
            <w:tcW w:w="2658" w:type="dxa"/>
            <w:vAlign w:val="center"/>
          </w:tcPr>
          <w:p>
            <w:pPr>
              <w:spacing w:after="200" w:line="276" w:lineRule="auto"/>
              <w:rPr>
                <w:rFonts w:ascii="仿宋" w:hAnsi="仿宋" w:eastAsia="仿宋" w:cs="仿宋"/>
                <w:sz w:val="21"/>
                <w:szCs w:val="21"/>
              </w:rPr>
            </w:pPr>
            <w:bookmarkStart w:id="219" w:name="_Toc9252"/>
            <w:r>
              <w:rPr>
                <w:rFonts w:hint="eastAsia" w:ascii="仿宋" w:hAnsi="仿宋" w:eastAsia="仿宋" w:cs="仿宋"/>
                <w:sz w:val="21"/>
                <w:szCs w:val="21"/>
              </w:rPr>
              <w:t>采购需求</w:t>
            </w:r>
            <w:bookmarkEnd w:id="219"/>
          </w:p>
        </w:tc>
        <w:tc>
          <w:tcPr>
            <w:tcW w:w="2759" w:type="dxa"/>
            <w:vAlign w:val="center"/>
          </w:tcPr>
          <w:p>
            <w:pPr>
              <w:spacing w:after="200" w:line="276" w:lineRule="auto"/>
              <w:rPr>
                <w:rFonts w:ascii="仿宋" w:hAnsi="仿宋" w:eastAsia="仿宋" w:cs="仿宋"/>
                <w:sz w:val="21"/>
                <w:szCs w:val="21"/>
              </w:rPr>
            </w:pPr>
            <w:bookmarkStart w:id="220" w:name="_Toc9492"/>
            <w:r>
              <w:rPr>
                <w:rFonts w:hint="eastAsia" w:ascii="仿宋" w:hAnsi="仿宋" w:eastAsia="仿宋" w:cs="仿宋"/>
                <w:sz w:val="21"/>
                <w:szCs w:val="21"/>
              </w:rPr>
              <w:t>响应情况</w:t>
            </w:r>
            <w:bookmarkEnd w:id="220"/>
          </w:p>
        </w:tc>
        <w:tc>
          <w:tcPr>
            <w:tcW w:w="2067" w:type="dxa"/>
            <w:vAlign w:val="center"/>
          </w:tcPr>
          <w:p>
            <w:pPr>
              <w:spacing w:after="200" w:line="276" w:lineRule="auto"/>
              <w:rPr>
                <w:rFonts w:ascii="仿宋" w:hAnsi="仿宋" w:eastAsia="仿宋" w:cs="仿宋"/>
                <w:sz w:val="21"/>
                <w:szCs w:val="21"/>
              </w:rPr>
            </w:pPr>
            <w:bookmarkStart w:id="221" w:name="_Toc26094"/>
            <w:r>
              <w:rPr>
                <w:rFonts w:hint="eastAsia" w:ascii="仿宋" w:hAnsi="仿宋" w:eastAsia="仿宋" w:cs="仿宋"/>
                <w:sz w:val="21"/>
                <w:szCs w:val="21"/>
              </w:rPr>
              <w:t>差异说明</w:t>
            </w:r>
            <w:bookmarkEnd w:id="2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spacing w:after="200" w:line="276" w:lineRule="auto"/>
              <w:rPr>
                <w:rFonts w:ascii="仿宋" w:hAnsi="仿宋" w:eastAsia="仿宋" w:cs="仿宋"/>
                <w:sz w:val="21"/>
                <w:szCs w:val="21"/>
              </w:rPr>
            </w:pPr>
          </w:p>
        </w:tc>
        <w:tc>
          <w:tcPr>
            <w:tcW w:w="2658" w:type="dxa"/>
            <w:vAlign w:val="center"/>
          </w:tcPr>
          <w:p>
            <w:pPr>
              <w:spacing w:after="200" w:line="276" w:lineRule="auto"/>
              <w:rPr>
                <w:rFonts w:ascii="仿宋" w:hAnsi="仿宋" w:eastAsia="仿宋" w:cs="仿宋"/>
                <w:sz w:val="21"/>
                <w:szCs w:val="21"/>
              </w:rPr>
            </w:pPr>
          </w:p>
        </w:tc>
        <w:tc>
          <w:tcPr>
            <w:tcW w:w="2759" w:type="dxa"/>
            <w:vAlign w:val="center"/>
          </w:tcPr>
          <w:p>
            <w:pPr>
              <w:spacing w:after="200" w:line="276" w:lineRule="auto"/>
              <w:rPr>
                <w:rFonts w:ascii="仿宋" w:hAnsi="仿宋" w:eastAsia="仿宋" w:cs="仿宋"/>
                <w:sz w:val="21"/>
                <w:szCs w:val="21"/>
              </w:rPr>
            </w:pPr>
          </w:p>
        </w:tc>
        <w:tc>
          <w:tcPr>
            <w:tcW w:w="2067" w:type="dxa"/>
            <w:vAlign w:val="center"/>
          </w:tcPr>
          <w:p>
            <w:pPr>
              <w:spacing w:after="200" w:line="276" w:lineRule="auto"/>
              <w:rPr>
                <w:rFonts w:ascii="仿宋" w:hAnsi="仿宋" w:eastAsia="仿宋" w:cs="仿宋"/>
                <w:sz w:val="21"/>
                <w:szCs w:val="21"/>
              </w:rPr>
            </w:pPr>
          </w:p>
        </w:tc>
      </w:tr>
    </w:tbl>
    <w:p>
      <w:pPr>
        <w:spacing w:after="200" w:line="276" w:lineRule="auto"/>
        <w:rPr>
          <w:rFonts w:ascii="仿宋" w:hAnsi="仿宋" w:eastAsia="仿宋" w:cs="仿宋"/>
          <w:sz w:val="24"/>
          <w:szCs w:val="28"/>
        </w:rPr>
      </w:pPr>
      <w:r>
        <w:rPr>
          <w:rFonts w:hint="eastAsia" w:ascii="仿宋" w:hAnsi="仿宋" w:eastAsia="仿宋" w:cs="仿宋"/>
          <w:sz w:val="24"/>
          <w:szCs w:val="28"/>
        </w:rPr>
        <w:t>供应商：                                      法定代表人授权代表：</w:t>
      </w:r>
    </w:p>
    <w:p>
      <w:pPr>
        <w:spacing w:after="200" w:line="276" w:lineRule="auto"/>
        <w:rPr>
          <w:rFonts w:ascii="仿宋" w:hAnsi="仿宋" w:eastAsia="仿宋" w:cs="仿宋"/>
          <w:sz w:val="24"/>
          <w:szCs w:val="28"/>
        </w:rPr>
      </w:pPr>
    </w:p>
    <w:p>
      <w:pPr>
        <w:spacing w:after="200" w:line="276" w:lineRule="auto"/>
        <w:rPr>
          <w:rFonts w:ascii="仿宋" w:hAnsi="仿宋" w:eastAsia="仿宋" w:cs="仿宋"/>
          <w:sz w:val="24"/>
          <w:szCs w:val="28"/>
        </w:rPr>
      </w:pPr>
      <w:r>
        <w:rPr>
          <w:rFonts w:hint="eastAsia" w:ascii="仿宋" w:hAnsi="仿宋" w:eastAsia="仿宋" w:cs="仿宋"/>
          <w:sz w:val="24"/>
          <w:szCs w:val="28"/>
        </w:rPr>
        <w:t>（供应商公章）                               （签字或盖章）</w:t>
      </w:r>
    </w:p>
    <w:p>
      <w:pPr>
        <w:spacing w:after="200" w:line="276" w:lineRule="auto"/>
        <w:rPr>
          <w:rFonts w:ascii="仿宋" w:hAnsi="仿宋" w:eastAsia="仿宋" w:cs="仿宋"/>
          <w:sz w:val="24"/>
        </w:rPr>
      </w:pPr>
      <w:r>
        <w:rPr>
          <w:rFonts w:hint="eastAsia" w:ascii="仿宋" w:hAnsi="仿宋" w:eastAsia="仿宋" w:cs="仿宋"/>
          <w:sz w:val="24"/>
          <w:szCs w:val="28"/>
        </w:rPr>
        <w:t xml:space="preserve">                                            年     月     日</w:t>
      </w:r>
    </w:p>
    <w:p>
      <w:pPr>
        <w:spacing w:after="200" w:line="276" w:lineRule="auto"/>
        <w:rPr>
          <w:rFonts w:ascii="仿宋" w:hAnsi="仿宋" w:eastAsia="仿宋" w:cs="仿宋"/>
          <w:sz w:val="24"/>
        </w:rPr>
      </w:pPr>
      <w:r>
        <w:rPr>
          <w:rFonts w:hint="eastAsia" w:ascii="仿宋" w:hAnsi="仿宋" w:eastAsia="仿宋" w:cs="仿宋"/>
          <w:sz w:val="24"/>
        </w:rPr>
        <w:t>注：</w:t>
      </w:r>
    </w:p>
    <w:p>
      <w:pPr>
        <w:spacing w:after="200" w:line="276" w:lineRule="auto"/>
        <w:rPr>
          <w:rFonts w:ascii="仿宋" w:hAnsi="仿宋" w:eastAsia="仿宋" w:cs="仿宋"/>
          <w:sz w:val="24"/>
        </w:rPr>
      </w:pPr>
      <w:r>
        <w:rPr>
          <w:rFonts w:hint="eastAsia" w:ascii="仿宋" w:hAnsi="仿宋" w:eastAsia="仿宋" w:cs="仿宋"/>
          <w:sz w:val="24"/>
          <w:szCs w:val="24"/>
        </w:rPr>
        <w:t>1</w:t>
      </w:r>
      <w:r>
        <w:rPr>
          <w:rFonts w:hint="eastAsia" w:ascii="仿宋" w:hAnsi="仿宋" w:eastAsia="仿宋" w:cs="仿宋"/>
          <w:sz w:val="24"/>
        </w:rPr>
        <w:t>.本表即为对本项目“第三篇  磋商项目服务需求”中所列技术要求进行比较和响应；</w:t>
      </w:r>
    </w:p>
    <w:p>
      <w:pPr>
        <w:spacing w:after="200" w:line="276" w:lineRule="auto"/>
        <w:rPr>
          <w:rFonts w:ascii="仿宋" w:hAnsi="仿宋" w:eastAsia="仿宋" w:cs="仿宋"/>
          <w:sz w:val="24"/>
        </w:rPr>
      </w:pPr>
      <w:r>
        <w:rPr>
          <w:rFonts w:hint="eastAsia" w:ascii="仿宋" w:hAnsi="仿宋" w:eastAsia="仿宋" w:cs="仿宋"/>
          <w:sz w:val="24"/>
        </w:rPr>
        <w:t>2.该表必须按照磋商要求逐条如实填写，“投标应答”中必须列出具体数值或内容。如投标人未应答或只注明“符合”、“满足”等类似无具体数值或内容的表述，视为不满足对应条款；根据响应情况在“差异说明”项填写正偏离或负偏离及原因，完全符合的填写“无差异”；</w:t>
      </w:r>
    </w:p>
    <w:p>
      <w:pPr>
        <w:spacing w:after="200" w:line="276" w:lineRule="auto"/>
        <w:rPr>
          <w:rFonts w:ascii="仿宋" w:hAnsi="仿宋" w:eastAsia="仿宋" w:cs="仿宋"/>
          <w:sz w:val="24"/>
        </w:rPr>
      </w:pPr>
      <w:r>
        <w:rPr>
          <w:rFonts w:hint="eastAsia" w:ascii="仿宋" w:hAnsi="仿宋" w:eastAsia="仿宋" w:cs="仿宋"/>
          <w:sz w:val="24"/>
        </w:rPr>
        <w:t>3.</w:t>
      </w:r>
      <w:r>
        <w:rPr>
          <w:rFonts w:hint="eastAsia" w:ascii="仿宋" w:hAnsi="仿宋" w:eastAsia="仿宋" w:cs="仿宋"/>
          <w:b/>
          <w:sz w:val="24"/>
          <w:szCs w:val="28"/>
        </w:rPr>
        <w:t>本表必须逐页签字或盖章，否则投标无效</w:t>
      </w:r>
      <w:r>
        <w:rPr>
          <w:rFonts w:hint="eastAsia" w:ascii="仿宋" w:hAnsi="仿宋" w:eastAsia="仿宋" w:cs="仿宋"/>
          <w:sz w:val="24"/>
        </w:rPr>
        <w:t>；</w:t>
      </w:r>
    </w:p>
    <w:p>
      <w:pPr>
        <w:spacing w:after="200" w:line="276" w:lineRule="auto"/>
        <w:rPr>
          <w:rFonts w:ascii="仿宋" w:hAnsi="仿宋" w:eastAsia="仿宋" w:cs="仿宋"/>
          <w:sz w:val="24"/>
        </w:rPr>
      </w:pPr>
      <w:r>
        <w:rPr>
          <w:rFonts w:hint="eastAsia" w:ascii="仿宋" w:hAnsi="仿宋" w:eastAsia="仿宋" w:cs="仿宋"/>
          <w:sz w:val="24"/>
        </w:rPr>
        <w:t>4.可附相关技术支撑材料。（格式自定）</w:t>
      </w:r>
    </w:p>
    <w:p>
      <w:pPr>
        <w:spacing w:after="200" w:line="276" w:lineRule="auto"/>
        <w:rPr>
          <w:rFonts w:ascii="仿宋" w:hAnsi="仿宋" w:eastAsia="仿宋" w:cs="仿宋"/>
          <w:sz w:val="24"/>
          <w:szCs w:val="24"/>
        </w:rPr>
      </w:pPr>
    </w:p>
    <w:p>
      <w:pPr>
        <w:keepNext/>
        <w:keepLines/>
        <w:spacing w:before="260" w:after="260" w:line="413" w:lineRule="auto"/>
        <w:outlineLvl w:val="1"/>
        <w:rPr>
          <w:b/>
          <w:bCs/>
          <w:kern w:val="0"/>
          <w:szCs w:val="28"/>
        </w:rPr>
      </w:pP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br w:type="page"/>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说明：</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1.提供响应产品列入《财政部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2.提供响应产品列入《财政部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br w:type="page"/>
      </w:r>
    </w:p>
    <w:p>
      <w:pPr>
        <w:keepNext/>
        <w:keepLines/>
        <w:spacing w:before="260" w:after="260" w:line="413" w:lineRule="auto"/>
        <w:outlineLvl w:val="1"/>
        <w:rPr>
          <w:rFonts w:ascii="Arial" w:hAnsi="Arial" w:eastAsia="黑体"/>
          <w:b/>
          <w:szCs w:val="28"/>
        </w:rPr>
      </w:pPr>
      <w:bookmarkStart w:id="222" w:name="_Toc19253"/>
      <w:bookmarkStart w:id="223" w:name="_Toc5235"/>
      <w:bookmarkStart w:id="224" w:name="_Toc77262140"/>
      <w:bookmarkStart w:id="225" w:name="_Toc6156"/>
      <w:bookmarkStart w:id="226" w:name="_Toc480979020"/>
      <w:bookmarkStart w:id="227" w:name="_Toc15142"/>
      <w:bookmarkStart w:id="228" w:name="_Toc14669"/>
      <w:bookmarkStart w:id="229" w:name="_Toc313008358"/>
      <w:bookmarkStart w:id="230" w:name="_Toc313888362"/>
      <w:bookmarkStart w:id="231" w:name="_Toc5317"/>
      <w:bookmarkStart w:id="232" w:name="_Toc26240"/>
      <w:bookmarkStart w:id="233" w:name="_Toc71288802"/>
      <w:bookmarkStart w:id="234" w:name="_Toc485108798"/>
      <w:bookmarkStart w:id="235" w:name="_Toc342913421"/>
      <w:bookmarkStart w:id="236" w:name="_Toc88838460"/>
      <w:r>
        <w:rPr>
          <w:rFonts w:hint="eastAsia" w:ascii="仿宋" w:hAnsi="仿宋" w:eastAsia="仿宋" w:cs="仿宋"/>
          <w:b/>
          <w:szCs w:val="28"/>
        </w:rPr>
        <w:t>三、商务部分</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pPr>
        <w:spacing w:line="360" w:lineRule="auto"/>
        <w:ind w:firstLine="480" w:firstLineChars="200"/>
        <w:rPr>
          <w:rFonts w:ascii="仿宋" w:hAnsi="仿宋" w:eastAsia="仿宋" w:cs="仿宋"/>
          <w:sz w:val="24"/>
          <w:szCs w:val="24"/>
        </w:rPr>
      </w:pPr>
      <w:bookmarkStart w:id="237" w:name="_Toc283382459"/>
      <w:r>
        <w:rPr>
          <w:rFonts w:hint="eastAsia" w:ascii="仿宋" w:hAnsi="仿宋" w:eastAsia="仿宋" w:cs="仿宋"/>
          <w:sz w:val="24"/>
          <w:szCs w:val="24"/>
        </w:rPr>
        <w:t>（一）服务响应偏离表</w:t>
      </w:r>
    </w:p>
    <w:p>
      <w:pPr>
        <w:snapToGrid w:val="0"/>
        <w:spacing w:line="360" w:lineRule="auto"/>
        <w:ind w:firstLine="562" w:firstLineChars="200"/>
        <w:jc w:val="center"/>
        <w:rPr>
          <w:rFonts w:ascii="仿宋" w:hAnsi="仿宋" w:eastAsia="仿宋" w:cs="仿宋"/>
          <w:b/>
          <w:szCs w:val="28"/>
        </w:rPr>
      </w:pPr>
      <w:r>
        <w:rPr>
          <w:rFonts w:hint="eastAsia" w:ascii="仿宋" w:hAnsi="仿宋" w:eastAsia="仿宋" w:cs="仿宋"/>
          <w:b/>
          <w:szCs w:val="28"/>
        </w:rPr>
        <w:t>商务响应偏离表（本表可自行设计格式）</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对于磋商文件的服务要求，如有任何偏离请如实填写下表：</w:t>
      </w:r>
    </w:p>
    <w:tbl>
      <w:tblPr>
        <w:tblStyle w:val="17"/>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rPr>
                <w:rFonts w:ascii="仿宋" w:hAnsi="仿宋" w:eastAsia="仿宋" w:cs="仿宋"/>
                <w:sz w:val="21"/>
                <w:szCs w:val="24"/>
              </w:rPr>
            </w:pPr>
            <w:bookmarkStart w:id="238" w:name="_Toc9376"/>
            <w:r>
              <w:rPr>
                <w:rFonts w:hint="eastAsia" w:ascii="仿宋" w:hAnsi="仿宋" w:eastAsia="仿宋" w:cs="仿宋"/>
                <w:sz w:val="21"/>
                <w:szCs w:val="24"/>
              </w:rPr>
              <w:t>序号</w:t>
            </w:r>
            <w:bookmarkEnd w:id="238"/>
          </w:p>
        </w:tc>
        <w:tc>
          <w:tcPr>
            <w:tcW w:w="3179" w:type="dxa"/>
            <w:vAlign w:val="center"/>
          </w:tcPr>
          <w:p>
            <w:pPr>
              <w:tabs>
                <w:tab w:val="left" w:pos="6300"/>
              </w:tabs>
              <w:snapToGrid w:val="0"/>
              <w:spacing w:line="360" w:lineRule="auto"/>
              <w:jc w:val="center"/>
              <w:rPr>
                <w:rFonts w:ascii="仿宋" w:hAnsi="仿宋" w:eastAsia="仿宋" w:cs="仿宋"/>
                <w:sz w:val="21"/>
                <w:szCs w:val="24"/>
              </w:rPr>
            </w:pPr>
            <w:bookmarkStart w:id="239" w:name="_Toc21324"/>
            <w:r>
              <w:rPr>
                <w:rFonts w:hint="eastAsia" w:ascii="仿宋" w:hAnsi="仿宋" w:eastAsia="仿宋" w:cs="仿宋"/>
                <w:sz w:val="21"/>
                <w:szCs w:val="24"/>
              </w:rPr>
              <w:t>磋商项目</w:t>
            </w:r>
            <w:bookmarkEnd w:id="239"/>
            <w:r>
              <w:rPr>
                <w:rFonts w:hint="eastAsia" w:ascii="仿宋" w:hAnsi="仿宋" w:eastAsia="仿宋" w:cs="仿宋"/>
                <w:sz w:val="21"/>
                <w:szCs w:val="24"/>
              </w:rPr>
              <w:t>要求</w:t>
            </w:r>
          </w:p>
        </w:tc>
        <w:tc>
          <w:tcPr>
            <w:tcW w:w="2434" w:type="dxa"/>
            <w:vAlign w:val="center"/>
          </w:tcPr>
          <w:p>
            <w:pPr>
              <w:tabs>
                <w:tab w:val="left" w:pos="6300"/>
              </w:tabs>
              <w:snapToGrid w:val="0"/>
              <w:spacing w:line="360" w:lineRule="auto"/>
              <w:jc w:val="center"/>
              <w:rPr>
                <w:rFonts w:ascii="仿宋" w:hAnsi="仿宋" w:eastAsia="仿宋" w:cs="仿宋"/>
                <w:sz w:val="21"/>
                <w:szCs w:val="24"/>
              </w:rPr>
            </w:pPr>
            <w:r>
              <w:rPr>
                <w:rFonts w:hint="eastAsia" w:ascii="仿宋" w:hAnsi="仿宋" w:eastAsia="仿宋" w:cs="仿宋"/>
                <w:sz w:val="21"/>
                <w:szCs w:val="24"/>
              </w:rPr>
              <w:t>投标应答</w:t>
            </w:r>
          </w:p>
        </w:tc>
        <w:tc>
          <w:tcPr>
            <w:tcW w:w="2355" w:type="dxa"/>
            <w:vAlign w:val="center"/>
          </w:tcPr>
          <w:p>
            <w:pPr>
              <w:tabs>
                <w:tab w:val="left" w:pos="6300"/>
              </w:tabs>
              <w:snapToGrid w:val="0"/>
              <w:spacing w:line="360" w:lineRule="auto"/>
              <w:jc w:val="center"/>
              <w:rPr>
                <w:rFonts w:ascii="仿宋" w:hAnsi="仿宋" w:eastAsia="仿宋" w:cs="仿宋"/>
                <w:sz w:val="21"/>
                <w:szCs w:val="24"/>
              </w:rPr>
            </w:pPr>
            <w:bookmarkStart w:id="240" w:name="_Toc23009"/>
            <w:r>
              <w:rPr>
                <w:rFonts w:hint="eastAsia" w:ascii="仿宋" w:hAnsi="仿宋" w:eastAsia="仿宋" w:cs="仿宋"/>
                <w:sz w:val="21"/>
                <w:szCs w:val="24"/>
              </w:rPr>
              <w:t>差异说明</w:t>
            </w:r>
            <w:bookmarkEnd w:id="2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3179"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434"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c>
          <w:tcPr>
            <w:tcW w:w="2355" w:type="dxa"/>
            <w:vAlign w:val="center"/>
          </w:tcPr>
          <w:p>
            <w:pPr>
              <w:tabs>
                <w:tab w:val="left" w:pos="6300"/>
              </w:tabs>
              <w:snapToGrid w:val="0"/>
              <w:spacing w:line="360" w:lineRule="auto"/>
              <w:ind w:firstLine="420" w:firstLineChars="200"/>
              <w:jc w:val="center"/>
              <w:rPr>
                <w:rFonts w:ascii="仿宋" w:hAnsi="仿宋" w:eastAsia="仿宋" w:cs="仿宋"/>
                <w:sz w:val="21"/>
                <w:szCs w:val="24"/>
              </w:rPr>
            </w:pPr>
          </w:p>
        </w:tc>
      </w:tr>
    </w:tbl>
    <w:p>
      <w:pPr>
        <w:snapToGrid w:val="0"/>
        <w:spacing w:line="360" w:lineRule="auto"/>
        <w:ind w:firstLine="480" w:firstLineChars="200"/>
        <w:rPr>
          <w:rFonts w:ascii="仿宋" w:hAnsi="仿宋" w:eastAsia="仿宋" w:cs="仿宋"/>
          <w:sz w:val="24"/>
          <w:szCs w:val="24"/>
        </w:rPr>
      </w:pPr>
    </w:p>
    <w:p>
      <w:pPr>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供应商：                                      法定代表人授权代表：</w:t>
      </w:r>
    </w:p>
    <w:p>
      <w:pPr>
        <w:spacing w:line="500" w:lineRule="exact"/>
        <w:ind w:firstLine="480" w:firstLineChars="200"/>
        <w:rPr>
          <w:rFonts w:ascii="仿宋" w:hAnsi="仿宋" w:eastAsia="仿宋" w:cs="仿宋"/>
          <w:sz w:val="24"/>
          <w:szCs w:val="28"/>
        </w:rPr>
      </w:pPr>
    </w:p>
    <w:p>
      <w:pPr>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（供应商公章）                                 （签字或盖章）</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8"/>
        </w:rPr>
        <w:t xml:space="preserve">                                            年     月     日</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注：</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4"/>
        </w:rPr>
        <w:t>1</w:t>
      </w:r>
      <w:r>
        <w:rPr>
          <w:rFonts w:hint="eastAsia" w:ascii="仿宋" w:hAnsi="仿宋" w:eastAsia="仿宋" w:cs="仿宋"/>
          <w:sz w:val="24"/>
        </w:rPr>
        <w:t>.本表即为对本项目“第四篇 磋商项目商务需求”中所列服务要求进行比较和响应；</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2.该表必须按照磋商要求逐条如实填写， “投标应答”中必须列出具体参数或内容。如投标人未应答或只注明“符合”、“满足”等类似无具体数值或内容的表述，视为不满足对应条款；根据响应情况在“差异说明”项填写正偏离或负偏离及原因，完全符合的填写“无差异”；</w:t>
      </w:r>
    </w:p>
    <w:p>
      <w:pPr>
        <w:tabs>
          <w:tab w:val="left" w:pos="6300"/>
        </w:tabs>
        <w:snapToGrid w:val="0"/>
        <w:spacing w:line="500" w:lineRule="exact"/>
        <w:ind w:firstLine="480" w:firstLineChars="200"/>
        <w:rPr>
          <w:rFonts w:ascii="仿宋" w:hAnsi="仿宋" w:eastAsia="仿宋" w:cs="仿宋"/>
          <w:b/>
          <w:sz w:val="24"/>
        </w:rPr>
      </w:pPr>
      <w:r>
        <w:rPr>
          <w:rFonts w:hint="eastAsia" w:ascii="仿宋" w:hAnsi="仿宋" w:eastAsia="仿宋" w:cs="仿宋"/>
          <w:sz w:val="24"/>
        </w:rPr>
        <w:t>3.</w:t>
      </w:r>
      <w:r>
        <w:rPr>
          <w:rFonts w:hint="eastAsia" w:ascii="仿宋" w:hAnsi="仿宋" w:eastAsia="仿宋" w:cs="仿宋"/>
          <w:b/>
          <w:sz w:val="24"/>
        </w:rPr>
        <w:t>本表必须</w:t>
      </w:r>
      <w:r>
        <w:rPr>
          <w:rFonts w:hint="eastAsia" w:ascii="仿宋" w:hAnsi="仿宋" w:eastAsia="仿宋" w:cs="仿宋"/>
          <w:b/>
          <w:sz w:val="24"/>
          <w:szCs w:val="28"/>
        </w:rPr>
        <w:t>逐页签字或盖章，否则投标无效</w:t>
      </w:r>
      <w:r>
        <w:rPr>
          <w:rFonts w:hint="eastAsia" w:ascii="仿宋" w:hAnsi="仿宋" w:eastAsia="仿宋" w:cs="仿宋"/>
          <w:b/>
          <w:sz w:val="24"/>
        </w:rPr>
        <w:t>。</w:t>
      </w:r>
    </w:p>
    <w:p>
      <w:pPr>
        <w:spacing w:line="360" w:lineRule="auto"/>
        <w:ind w:firstLine="560" w:firstLineChars="200"/>
        <w:rPr>
          <w:rFonts w:ascii="仿宋" w:hAnsi="仿宋" w:eastAsia="仿宋" w:cs="仿宋"/>
        </w:rPr>
      </w:pP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r>
        <w:rPr>
          <w:rFonts w:hint="eastAsia" w:ascii="仿宋" w:hAnsi="仿宋" w:eastAsia="仿宋" w:cs="仿宋"/>
          <w:sz w:val="24"/>
          <w:szCs w:val="24"/>
        </w:rPr>
        <w:t>（三）其它优惠承诺（格式自定）</w:t>
      </w:r>
      <w:bookmarkEnd w:id="237"/>
      <w:bookmarkStart w:id="241" w:name="_Toc480979021"/>
      <w:bookmarkStart w:id="242" w:name="_Toc485108799"/>
      <w:bookmarkStart w:id="243" w:name="_Toc342913422"/>
      <w:bookmarkStart w:id="244" w:name="_Toc313008359"/>
      <w:bookmarkStart w:id="245" w:name="_Toc313888363"/>
    </w:p>
    <w:p>
      <w:pPr>
        <w:spacing w:line="360" w:lineRule="auto"/>
        <w:ind w:firstLine="480" w:firstLineChars="200"/>
        <w:rPr>
          <w:rFonts w:ascii="仿宋" w:hAnsi="仿宋" w:eastAsia="仿宋" w:cs="仿宋"/>
          <w:sz w:val="24"/>
          <w:szCs w:val="24"/>
        </w:rPr>
      </w:pPr>
    </w:p>
    <w:p>
      <w:pPr>
        <w:spacing w:line="360" w:lineRule="auto"/>
        <w:ind w:firstLine="480" w:firstLineChars="200"/>
        <w:rPr>
          <w:rFonts w:ascii="仿宋" w:hAnsi="仿宋" w:eastAsia="仿宋" w:cs="仿宋"/>
          <w:sz w:val="24"/>
          <w:szCs w:val="24"/>
        </w:rPr>
      </w:pPr>
    </w:p>
    <w:p>
      <w:pPr>
        <w:keepNext/>
        <w:keepLines/>
        <w:spacing w:before="260" w:after="260" w:line="413" w:lineRule="auto"/>
        <w:outlineLvl w:val="1"/>
        <w:rPr>
          <w:rFonts w:ascii="仿宋" w:hAnsi="仿宋" w:eastAsia="仿宋" w:cs="仿宋"/>
          <w:b/>
          <w:sz w:val="24"/>
          <w:szCs w:val="24"/>
        </w:rPr>
      </w:pPr>
      <w:r>
        <w:rPr>
          <w:rFonts w:hint="eastAsia" w:ascii="仿宋" w:hAnsi="仿宋" w:eastAsia="仿宋" w:cs="仿宋"/>
          <w:b/>
          <w:sz w:val="24"/>
          <w:szCs w:val="24"/>
        </w:rPr>
        <w:br w:type="page"/>
      </w:r>
      <w:bookmarkStart w:id="246" w:name="_Toc4019"/>
      <w:bookmarkStart w:id="247" w:name="_Toc11539"/>
      <w:bookmarkStart w:id="248" w:name="_Toc5741"/>
      <w:bookmarkStart w:id="249" w:name="_Toc71288803"/>
      <w:bookmarkStart w:id="250" w:name="_Toc1238"/>
      <w:bookmarkStart w:id="251" w:name="_Toc174"/>
      <w:bookmarkStart w:id="252" w:name="_Toc77262141"/>
      <w:bookmarkStart w:id="253" w:name="_Toc88838461"/>
      <w:bookmarkStart w:id="254" w:name="_Toc14374"/>
      <w:bookmarkStart w:id="255" w:name="_Toc14483"/>
      <w:r>
        <w:rPr>
          <w:rFonts w:hint="eastAsia" w:ascii="仿宋" w:hAnsi="仿宋" w:eastAsia="仿宋" w:cs="仿宋"/>
          <w:b/>
          <w:szCs w:val="28"/>
        </w:rPr>
        <w:t>四、资格条件</w:t>
      </w:r>
      <w:bookmarkEnd w:id="241"/>
      <w:bookmarkEnd w:id="242"/>
      <w:r>
        <w:rPr>
          <w:rFonts w:hint="eastAsia" w:ascii="仿宋" w:hAnsi="仿宋" w:eastAsia="仿宋" w:cs="仿宋"/>
          <w:b/>
          <w:bCs/>
          <w:szCs w:val="28"/>
        </w:rPr>
        <w:t>(单独装订，一式三份)</w:t>
      </w:r>
      <w:bookmarkEnd w:id="246"/>
      <w:bookmarkEnd w:id="247"/>
      <w:bookmarkEnd w:id="248"/>
      <w:bookmarkEnd w:id="249"/>
      <w:bookmarkEnd w:id="250"/>
      <w:bookmarkEnd w:id="251"/>
      <w:bookmarkEnd w:id="252"/>
      <w:bookmarkEnd w:id="253"/>
      <w:bookmarkEnd w:id="254"/>
      <w:bookmarkEnd w:id="255"/>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（一）营业执照（副本）或事业单位法人证书（副本）复印件</w:t>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br w:type="page"/>
      </w:r>
    </w:p>
    <w:p>
      <w:pPr>
        <w:tabs>
          <w:tab w:val="left" w:pos="6300"/>
        </w:tabs>
        <w:snapToGrid w:val="0"/>
        <w:spacing w:line="500" w:lineRule="exact"/>
        <w:ind w:firstLine="560" w:firstLineChars="200"/>
        <w:rPr>
          <w:rFonts w:ascii="仿宋" w:hAnsi="仿宋" w:eastAsia="仿宋" w:cs="仿宋"/>
        </w:rPr>
      </w:pP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（二）税务登记证副本复印件</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说明：“多证合一”登记制度办理营业执照的，组织机构代码证、税务登记证（副本）和</w:t>
      </w:r>
      <w:r>
        <w:rPr>
          <w:rFonts w:hint="eastAsia" w:ascii="仿宋" w:hAnsi="仿宋" w:eastAsia="仿宋" w:cs="宋体"/>
          <w:sz w:val="24"/>
          <w:szCs w:val="24"/>
        </w:rPr>
        <w:t>2021年10月</w:t>
      </w:r>
      <w:r>
        <w:rPr>
          <w:rFonts w:hint="eastAsia" w:ascii="仿宋" w:hAnsi="仿宋" w:eastAsia="仿宋" w:cs="仿宋"/>
          <w:sz w:val="24"/>
          <w:szCs w:val="24"/>
        </w:rPr>
        <w:t>社会保险登记证以供应商所提供的营业执照（副本）复印件为准。</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p>
    <w:p>
      <w:pPr>
        <w:snapToGrid w:val="0"/>
        <w:spacing w:line="360" w:lineRule="auto"/>
        <w:ind w:firstLine="480" w:firstLineChars="200"/>
        <w:rPr>
          <w:rFonts w:ascii="仿宋" w:hAnsi="仿宋" w:eastAsia="仿宋" w:cs="仿宋"/>
          <w:sz w:val="24"/>
          <w:szCs w:val="24"/>
        </w:rPr>
      </w:pP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（三）法定代表人身份证明书（格式）</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项目名称：</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致：（采购人名称）：</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（法定代表人姓名）在（供应商名称）任（职务名称）职务，是（供应商名称）的法定代表人。</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特此证明。</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 xml:space="preserve">                                             （供应商公章）</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 xml:space="preserve">                                             年   月   日</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（附：法定代表人身份证正反面复印件）</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br w:type="page"/>
      </w:r>
      <w:r>
        <w:rPr>
          <w:rFonts w:hint="eastAsia" w:ascii="仿宋" w:hAnsi="仿宋" w:eastAsia="仿宋" w:cs="仿宋"/>
          <w:sz w:val="24"/>
          <w:szCs w:val="24"/>
        </w:rPr>
        <w:t>（四）法定代表人授权委托书（格式）</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8"/>
        </w:rPr>
        <w:t>项目名称</w:t>
      </w:r>
      <w:r>
        <w:rPr>
          <w:rFonts w:hint="eastAsia" w:ascii="仿宋" w:hAnsi="仿宋" w:eastAsia="仿宋" w:cs="仿宋"/>
          <w:sz w:val="24"/>
        </w:rPr>
        <w:t>：</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致：（采购人名称）：</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（供应商法定代表人名称）是（供应商名称）的法定代表人，特授权（被授权人姓名及身份证代码）代表我单位全权办理上述项目的磋商、签约等具体工作，并签署全部有关文件、协议及合同。</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我单位对被授权人的签字负全部责任。</w:t>
      </w: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在撤消授权的书面通知以前，本授权书一直有效。被授权人在授权书有效期内签署的所有文件不因授权的撤消而失效。</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被授权人：                                 供应商法定代表人：</w:t>
      </w:r>
    </w:p>
    <w:p>
      <w:pPr>
        <w:tabs>
          <w:tab w:val="left" w:pos="6300"/>
        </w:tabs>
        <w:snapToGrid w:val="0"/>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（签字或盖章）                                （签字或盖章）</w:t>
      </w:r>
    </w:p>
    <w:p>
      <w:pPr>
        <w:tabs>
          <w:tab w:val="left" w:pos="6300"/>
        </w:tabs>
        <w:snapToGrid w:val="0"/>
        <w:spacing w:line="500" w:lineRule="exact"/>
        <w:ind w:firstLine="480" w:firstLineChars="200"/>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rPr>
        <w:t>（附：被授权人身份证正反面复印件）</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right="480" w:firstLine="480" w:firstLineChars="200"/>
        <w:jc w:val="right"/>
        <w:rPr>
          <w:rFonts w:ascii="仿宋" w:hAnsi="仿宋" w:eastAsia="仿宋" w:cs="仿宋"/>
          <w:sz w:val="24"/>
        </w:rPr>
      </w:pPr>
      <w:r>
        <w:rPr>
          <w:rFonts w:hint="eastAsia" w:ascii="仿宋" w:hAnsi="仿宋" w:eastAsia="仿宋" w:cs="仿宋"/>
          <w:sz w:val="24"/>
        </w:rPr>
        <w:t>（供应商公章）</w:t>
      </w:r>
    </w:p>
    <w:p>
      <w:pPr>
        <w:tabs>
          <w:tab w:val="left" w:pos="6300"/>
        </w:tabs>
        <w:snapToGrid w:val="0"/>
        <w:spacing w:line="500" w:lineRule="exact"/>
        <w:ind w:right="480" w:firstLine="480" w:firstLineChars="200"/>
        <w:jc w:val="right"/>
        <w:rPr>
          <w:rFonts w:ascii="仿宋" w:hAnsi="仿宋" w:eastAsia="仿宋" w:cs="仿宋"/>
          <w:sz w:val="24"/>
        </w:rPr>
      </w:pPr>
      <w:r>
        <w:rPr>
          <w:rFonts w:hint="eastAsia" w:ascii="仿宋" w:hAnsi="仿宋" w:eastAsia="仿宋" w:cs="仿宋"/>
          <w:sz w:val="24"/>
        </w:rPr>
        <w:t>年   月   日</w:t>
      </w:r>
    </w:p>
    <w:p>
      <w:pPr>
        <w:tabs>
          <w:tab w:val="left" w:pos="6300"/>
        </w:tabs>
        <w:snapToGrid w:val="0"/>
        <w:spacing w:line="500" w:lineRule="exact"/>
        <w:ind w:right="480" w:firstLine="480" w:firstLineChars="200"/>
        <w:jc w:val="right"/>
        <w:rPr>
          <w:rFonts w:ascii="仿宋" w:hAnsi="仿宋" w:eastAsia="仿宋" w:cs="仿宋"/>
          <w:sz w:val="24"/>
        </w:rPr>
      </w:pPr>
      <w:r>
        <w:rPr>
          <w:rFonts w:hint="eastAsia" w:ascii="仿宋" w:hAnsi="仿宋" w:eastAsia="仿宋" w:cs="仿宋"/>
          <w:sz w:val="24"/>
        </w:rPr>
        <w:br w:type="page"/>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（五）提供2020年度财务状况报告（表）（表：资产负债表和损益表）复印件或其基本开户银行出具的资信证明复印件或2020年度审计报告。</w:t>
      </w:r>
    </w:p>
    <w:p>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pPr>
        <w:tabs>
          <w:tab w:val="left" w:pos="6300"/>
        </w:tabs>
        <w:snapToGrid w:val="0"/>
        <w:spacing w:line="500" w:lineRule="exact"/>
        <w:ind w:firstLine="560" w:firstLineChars="200"/>
        <w:rPr>
          <w:rFonts w:ascii="仿宋" w:hAnsi="仿宋" w:eastAsia="仿宋" w:cs="仿宋"/>
        </w:rPr>
      </w:pPr>
      <w:r>
        <w:rPr>
          <w:rFonts w:hint="eastAsia" w:ascii="仿宋" w:hAnsi="仿宋" w:eastAsia="仿宋" w:cs="仿宋"/>
        </w:rPr>
        <w:br w:type="page"/>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（六）书面声明</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r>
        <w:rPr>
          <w:rFonts w:hint="eastAsia" w:ascii="仿宋" w:hAnsi="仿宋" w:eastAsia="仿宋" w:cs="仿宋"/>
          <w:sz w:val="24"/>
          <w:szCs w:val="28"/>
        </w:rPr>
        <w:t>项目名称</w:t>
      </w:r>
      <w:r>
        <w:rPr>
          <w:rFonts w:hint="eastAsia" w:ascii="仿宋" w:hAnsi="仿宋" w:eastAsia="仿宋" w:cs="仿宋"/>
          <w:sz w:val="24"/>
        </w:rPr>
        <w:t>：</w:t>
      </w:r>
    </w:p>
    <w:p>
      <w:pPr>
        <w:tabs>
          <w:tab w:val="left" w:pos="6300"/>
        </w:tabs>
        <w:snapToGrid w:val="0"/>
        <w:spacing w:line="500" w:lineRule="exact"/>
        <w:ind w:firstLine="480" w:firstLineChars="200"/>
        <w:rPr>
          <w:rFonts w:ascii="仿宋" w:hAnsi="仿宋" w:eastAsia="仿宋" w:cs="仿宋"/>
          <w:sz w:val="24"/>
        </w:rPr>
      </w:pP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致：（采购代理机构名称）：</w:t>
      </w:r>
    </w:p>
    <w:p>
      <w:pPr>
        <w:spacing w:after="200" w:line="600" w:lineRule="exact"/>
        <w:ind w:firstLine="480" w:firstLineChars="200"/>
        <w:rPr>
          <w:rFonts w:ascii="仿宋" w:hAnsi="仿宋" w:eastAsia="仿宋" w:cs="仿宋"/>
          <w:sz w:val="24"/>
          <w:szCs w:val="24"/>
        </w:rPr>
      </w:pPr>
      <w:r>
        <w:rPr>
          <w:rFonts w:hint="eastAsia" w:ascii="仿宋" w:hAnsi="仿宋" w:eastAsia="仿宋" w:cs="仿宋"/>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pPr>
        <w:tabs>
          <w:tab w:val="left" w:pos="6300"/>
        </w:tabs>
        <w:snapToGrid w:val="0"/>
        <w:spacing w:line="500" w:lineRule="exact"/>
        <w:ind w:firstLine="480" w:firstLineChars="200"/>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 xml:space="preserve">       特此声明。</w:t>
      </w:r>
    </w:p>
    <w:p>
      <w:pPr>
        <w:tabs>
          <w:tab w:val="left" w:pos="6300"/>
        </w:tabs>
        <w:snapToGrid w:val="0"/>
        <w:spacing w:line="500" w:lineRule="exact"/>
        <w:ind w:firstLine="480" w:firstLineChars="200"/>
        <w:jc w:val="center"/>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szCs w:val="28"/>
        </w:rPr>
      </w:pPr>
    </w:p>
    <w:p>
      <w:pPr>
        <w:tabs>
          <w:tab w:val="left" w:pos="6300"/>
        </w:tabs>
        <w:snapToGrid w:val="0"/>
        <w:spacing w:line="500" w:lineRule="exact"/>
        <w:ind w:firstLine="480" w:firstLineChars="200"/>
        <w:rPr>
          <w:rFonts w:ascii="仿宋" w:hAnsi="仿宋" w:eastAsia="仿宋" w:cs="仿宋"/>
          <w:sz w:val="24"/>
          <w:szCs w:val="28"/>
        </w:rPr>
      </w:pPr>
      <w:r>
        <w:rPr>
          <w:rFonts w:hint="eastAsia" w:ascii="仿宋" w:hAnsi="仿宋" w:eastAsia="仿宋" w:cs="仿宋"/>
          <w:sz w:val="24"/>
          <w:szCs w:val="28"/>
        </w:rPr>
        <w:t>（供应商公章）</w:t>
      </w:r>
    </w:p>
    <w:p>
      <w:pPr>
        <w:tabs>
          <w:tab w:val="left" w:pos="6300"/>
        </w:tabs>
        <w:snapToGrid w:val="0"/>
        <w:spacing w:line="360" w:lineRule="auto"/>
        <w:ind w:right="360" w:firstLine="480" w:firstLineChars="200"/>
        <w:jc w:val="right"/>
        <w:rPr>
          <w:rFonts w:ascii="仿宋" w:hAnsi="仿宋" w:eastAsia="仿宋" w:cs="仿宋"/>
          <w:sz w:val="24"/>
          <w:szCs w:val="28"/>
        </w:rPr>
      </w:pPr>
    </w:p>
    <w:p>
      <w:pPr>
        <w:tabs>
          <w:tab w:val="left" w:pos="6300"/>
        </w:tabs>
        <w:snapToGrid w:val="0"/>
        <w:spacing w:line="360" w:lineRule="auto"/>
        <w:ind w:right="1320" w:firstLine="480" w:firstLineChars="200"/>
        <w:jc w:val="right"/>
        <w:rPr>
          <w:rFonts w:ascii="仿宋" w:hAnsi="仿宋" w:eastAsia="仿宋" w:cs="仿宋"/>
          <w:sz w:val="24"/>
          <w:szCs w:val="28"/>
        </w:rPr>
      </w:pPr>
      <w:r>
        <w:rPr>
          <w:rFonts w:hint="eastAsia" w:ascii="仿宋" w:hAnsi="仿宋" w:eastAsia="仿宋" w:cs="仿宋"/>
          <w:sz w:val="24"/>
          <w:szCs w:val="28"/>
        </w:rPr>
        <w:t>年   月   日</w:t>
      </w:r>
    </w:p>
    <w:p>
      <w:pPr>
        <w:tabs>
          <w:tab w:val="left" w:pos="6300"/>
        </w:tabs>
        <w:snapToGrid w:val="0"/>
        <w:spacing w:line="500" w:lineRule="exact"/>
        <w:ind w:firstLine="480" w:firstLineChars="200"/>
        <w:outlineLvl w:val="0"/>
        <w:rPr>
          <w:rFonts w:ascii="仿宋" w:hAnsi="仿宋" w:eastAsia="仿宋" w:cs="仿宋"/>
          <w:sz w:val="24"/>
          <w:szCs w:val="24"/>
        </w:rPr>
      </w:pPr>
      <w:r>
        <w:rPr>
          <w:rFonts w:hint="eastAsia" w:ascii="仿宋" w:hAnsi="仿宋" w:eastAsia="仿宋" w:cs="仿宋"/>
          <w:sz w:val="24"/>
          <w:szCs w:val="24"/>
        </w:rPr>
        <w:br w:type="page"/>
      </w:r>
    </w:p>
    <w:p>
      <w:pPr>
        <w:tabs>
          <w:tab w:val="left" w:pos="6300"/>
        </w:tabs>
        <w:snapToGrid w:val="0"/>
        <w:spacing w:line="500" w:lineRule="exact"/>
        <w:ind w:firstLine="480" w:firstLineChars="200"/>
        <w:rPr>
          <w:rFonts w:ascii="仿宋" w:hAnsi="仿宋" w:eastAsia="仿宋" w:cs="仿宋"/>
          <w:sz w:val="24"/>
          <w:szCs w:val="24"/>
        </w:rPr>
      </w:pPr>
      <w:bookmarkStart w:id="256" w:name="OLE_LINK7"/>
      <w:bookmarkStart w:id="257" w:name="OLE_LINK4"/>
      <w:r>
        <w:rPr>
          <w:rFonts w:hint="eastAsia" w:ascii="仿宋" w:hAnsi="仿宋" w:eastAsia="仿宋" w:cs="仿宋"/>
          <w:sz w:val="24"/>
          <w:szCs w:val="24"/>
        </w:rPr>
        <w:t>（七）缴纳社会保障金的证明材料复印件</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宋体"/>
          <w:sz w:val="24"/>
          <w:szCs w:val="24"/>
        </w:rPr>
        <w:t>2021年10月</w:t>
      </w:r>
      <w:r>
        <w:rPr>
          <w:rFonts w:hint="eastAsia" w:ascii="仿宋" w:hAnsi="仿宋" w:eastAsia="仿宋" w:cs="仿宋"/>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pPr>
        <w:tabs>
          <w:tab w:val="left" w:pos="6300"/>
        </w:tabs>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p>
    <w:p>
      <w:pPr>
        <w:tabs>
          <w:tab w:val="left" w:pos="6300"/>
        </w:tabs>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（八）特定资格条件证书或证明文件</w:t>
      </w:r>
    </w:p>
    <w:p>
      <w:pPr>
        <w:tabs>
          <w:tab w:val="left" w:pos="6300"/>
        </w:tabs>
        <w:snapToGrid w:val="0"/>
        <w:spacing w:line="500" w:lineRule="exact"/>
        <w:ind w:firstLine="480" w:firstLineChars="200"/>
        <w:rPr>
          <w:rFonts w:ascii="仿宋" w:hAnsi="仿宋" w:eastAsia="仿宋" w:cs="仿宋"/>
        </w:rPr>
      </w:pPr>
      <w:r>
        <w:rPr>
          <w:rFonts w:hint="eastAsia" w:ascii="仿宋" w:hAnsi="仿宋" w:eastAsia="仿宋" w:cs="仿宋"/>
          <w:sz w:val="24"/>
          <w:szCs w:val="24"/>
        </w:rPr>
        <w:br w:type="page"/>
      </w:r>
    </w:p>
    <w:p>
      <w:pPr>
        <w:keepNext/>
        <w:keepLines/>
        <w:spacing w:before="260" w:after="260" w:line="413" w:lineRule="auto"/>
        <w:outlineLvl w:val="1"/>
        <w:rPr>
          <w:rFonts w:ascii="仿宋" w:hAnsi="仿宋" w:eastAsia="仿宋" w:cs="仿宋"/>
          <w:b/>
          <w:sz w:val="24"/>
          <w:szCs w:val="24"/>
        </w:rPr>
      </w:pPr>
      <w:bookmarkStart w:id="258" w:name="_Toc77262142"/>
      <w:bookmarkStart w:id="259" w:name="_Toc26757"/>
      <w:bookmarkStart w:id="260" w:name="_Toc485108800"/>
      <w:bookmarkStart w:id="261" w:name="_Toc21149"/>
      <w:bookmarkStart w:id="262" w:name="_Toc30939"/>
      <w:bookmarkStart w:id="263" w:name="_Toc19132"/>
      <w:bookmarkStart w:id="264" w:name="_Toc480979022"/>
      <w:bookmarkStart w:id="265" w:name="_Toc12731"/>
      <w:bookmarkStart w:id="266" w:name="_Toc18595"/>
      <w:bookmarkStart w:id="267" w:name="_Toc71288804"/>
      <w:bookmarkStart w:id="268" w:name="_Toc15052"/>
      <w:bookmarkStart w:id="269" w:name="_Toc88838462"/>
      <w:r>
        <w:rPr>
          <w:rFonts w:hint="eastAsia" w:ascii="仿宋" w:hAnsi="仿宋" w:eastAsia="仿宋" w:cs="仿宋"/>
          <w:b/>
          <w:szCs w:val="28"/>
        </w:rPr>
        <w:t>五、</w:t>
      </w:r>
      <w:bookmarkEnd w:id="243"/>
      <w:bookmarkEnd w:id="244"/>
      <w:bookmarkEnd w:id="245"/>
      <w:r>
        <w:rPr>
          <w:rFonts w:hint="eastAsia" w:ascii="仿宋" w:hAnsi="仿宋" w:eastAsia="仿宋" w:cs="仿宋"/>
          <w:b/>
          <w:szCs w:val="28"/>
        </w:rPr>
        <w:t>其他应提供的资料</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tabs>
          <w:tab w:val="left" w:pos="6300"/>
        </w:tabs>
        <w:snapToGrid w:val="0"/>
        <w:spacing w:line="500" w:lineRule="exact"/>
        <w:ind w:firstLine="480" w:firstLineChars="200"/>
        <w:rPr>
          <w:rFonts w:ascii="仿宋" w:hAnsi="仿宋" w:eastAsia="仿宋" w:cs="仿宋"/>
          <w:sz w:val="24"/>
          <w:szCs w:val="24"/>
        </w:rPr>
      </w:pPr>
      <w:bookmarkStart w:id="270" w:name="_Toc15962"/>
      <w:bookmarkStart w:id="271" w:name="_Toc12957"/>
      <w:bookmarkStart w:id="272" w:name="_Toc18704"/>
      <w:bookmarkStart w:id="273" w:name="_Toc21715"/>
      <w:bookmarkStart w:id="274" w:name="_Toc6923"/>
      <w:r>
        <w:rPr>
          <w:rFonts w:ascii="仿宋" w:hAnsi="仿宋" w:eastAsia="仿宋" w:cs="仿宋"/>
          <w:sz w:val="24"/>
          <w:szCs w:val="24"/>
        </w:rPr>
        <w:t>（一）</w:t>
      </w:r>
      <w:bookmarkEnd w:id="270"/>
      <w:bookmarkEnd w:id="271"/>
      <w:bookmarkEnd w:id="272"/>
      <w:bookmarkEnd w:id="273"/>
      <w:bookmarkEnd w:id="274"/>
      <w:bookmarkStart w:id="275" w:name="_Toc32007"/>
      <w:bookmarkStart w:id="276" w:name="_Toc20109"/>
      <w:bookmarkStart w:id="277" w:name="_Toc26418"/>
      <w:bookmarkStart w:id="278" w:name="_Toc17356"/>
      <w:bookmarkStart w:id="279" w:name="_Toc32397"/>
      <w:bookmarkStart w:id="280" w:name="_Toc22953"/>
      <w:r>
        <w:rPr>
          <w:rFonts w:hint="eastAsia" w:ascii="仿宋" w:hAnsi="仿宋" w:eastAsia="仿宋" w:cs="仿宋"/>
          <w:sz w:val="24"/>
          <w:szCs w:val="24"/>
        </w:rPr>
        <w:t>供应商中小企业声明函（非中小微企业不提供）</w:t>
      </w:r>
    </w:p>
    <w:p>
      <w:pPr>
        <w:tabs>
          <w:tab w:val="left" w:pos="6300"/>
        </w:tabs>
        <w:snapToGrid w:val="0"/>
        <w:spacing w:after="200" w:line="500" w:lineRule="exact"/>
        <w:jc w:val="center"/>
        <w:rPr>
          <w:rFonts w:ascii="仿宋" w:hAnsi="仿宋" w:eastAsia="仿宋" w:cs="宋体"/>
          <w:sz w:val="24"/>
          <w:szCs w:val="24"/>
        </w:rPr>
      </w:pPr>
      <w:r>
        <w:rPr>
          <w:rFonts w:hint="eastAsia" w:ascii="仿宋" w:hAnsi="仿宋" w:eastAsia="仿宋" w:cs="宋体"/>
          <w:sz w:val="24"/>
          <w:szCs w:val="24"/>
        </w:rPr>
        <w:t>中小企业声明函（货物）</w:t>
      </w:r>
    </w:p>
    <w:p>
      <w:pPr>
        <w:tabs>
          <w:tab w:val="left" w:pos="6300"/>
        </w:tabs>
        <w:snapToGrid w:val="0"/>
        <w:spacing w:after="200" w:line="500" w:lineRule="exact"/>
        <w:ind w:firstLine="480" w:firstLineChars="200"/>
        <w:rPr>
          <w:rFonts w:ascii="仿宋" w:hAnsi="仿宋" w:eastAsia="仿宋" w:cs="宋体"/>
          <w:sz w:val="24"/>
          <w:szCs w:val="24"/>
        </w:rPr>
      </w:pPr>
      <w:r>
        <w:rPr>
          <w:rFonts w:hint="eastAsia" w:ascii="仿宋" w:hAnsi="仿宋" w:eastAsia="仿宋" w:cs="宋体"/>
          <w:sz w:val="24"/>
          <w:szCs w:val="24"/>
        </w:rPr>
        <w:t>本公司郑重声明，根据《政府采购促进中小企业发展管理办法》（财库〔2020〕46号）的规定，本公司参加</w:t>
      </w:r>
      <w:r>
        <w:rPr>
          <w:rFonts w:hint="eastAsia" w:ascii="仿宋" w:hAnsi="仿宋" w:eastAsia="仿宋" w:cs="宋体"/>
          <w:i/>
          <w:sz w:val="24"/>
          <w:szCs w:val="24"/>
          <w:u w:val="single"/>
        </w:rPr>
        <w:t>（单位名称）</w:t>
      </w:r>
      <w:r>
        <w:rPr>
          <w:rFonts w:hint="eastAsia" w:ascii="仿宋" w:hAnsi="仿宋" w:eastAsia="仿宋" w:cs="宋体"/>
          <w:sz w:val="24"/>
          <w:szCs w:val="24"/>
        </w:rPr>
        <w:t>的</w:t>
      </w:r>
      <w:r>
        <w:rPr>
          <w:rFonts w:hint="eastAsia" w:ascii="仿宋" w:hAnsi="仿宋" w:eastAsia="仿宋" w:cs="宋体"/>
          <w:i/>
          <w:sz w:val="24"/>
          <w:szCs w:val="24"/>
          <w:u w:val="single"/>
        </w:rPr>
        <w:t>（项目名称）</w:t>
      </w:r>
      <w:r>
        <w:rPr>
          <w:rFonts w:hint="eastAsia" w:ascii="仿宋" w:hAnsi="仿宋" w:eastAsia="仿宋" w:cs="宋体"/>
          <w:sz w:val="24"/>
          <w:szCs w:val="24"/>
        </w:rPr>
        <w:t>采购活动，提供的货物全部由符合政策要求的中小企业制造。相关企业的具体情况如下：</w:t>
      </w:r>
    </w:p>
    <w:p>
      <w:pPr>
        <w:tabs>
          <w:tab w:val="left" w:pos="6300"/>
        </w:tabs>
        <w:snapToGrid w:val="0"/>
        <w:spacing w:after="200" w:line="500" w:lineRule="exact"/>
        <w:ind w:right="782" w:firstLine="480" w:firstLineChars="200"/>
        <w:rPr>
          <w:rFonts w:ascii="仿宋" w:hAnsi="仿宋" w:eastAsia="仿宋" w:cs="宋体"/>
          <w:sz w:val="24"/>
          <w:szCs w:val="24"/>
        </w:rPr>
      </w:pPr>
      <w:r>
        <w:rPr>
          <w:rFonts w:hint="eastAsia" w:ascii="仿宋" w:hAnsi="仿宋" w:eastAsia="仿宋" w:cs="宋体"/>
          <w:sz w:val="24"/>
          <w:szCs w:val="24"/>
        </w:rPr>
        <w:t>1.</w:t>
      </w:r>
      <w:r>
        <w:rPr>
          <w:rFonts w:hint="eastAsia" w:ascii="仿宋" w:hAnsi="仿宋" w:eastAsia="仿宋" w:cs="宋体"/>
          <w:sz w:val="24"/>
          <w:szCs w:val="24"/>
          <w:u w:val="single"/>
        </w:rPr>
        <w:t>（标的名称）</w:t>
      </w:r>
      <w:r>
        <w:rPr>
          <w:rFonts w:hint="eastAsia" w:ascii="仿宋" w:hAnsi="仿宋" w:eastAsia="仿宋" w:cs="宋体"/>
          <w:sz w:val="24"/>
          <w:szCs w:val="24"/>
        </w:rPr>
        <w:t>，属于</w:t>
      </w:r>
      <w:r>
        <w:rPr>
          <w:rFonts w:hint="eastAsia" w:ascii="仿宋" w:hAnsi="仿宋" w:eastAsia="仿宋" w:cs="宋体"/>
          <w:sz w:val="24"/>
          <w:szCs w:val="24"/>
          <w:u w:val="single"/>
        </w:rPr>
        <w:t>（采购文件中明确的所属行业）</w:t>
      </w:r>
      <w:r>
        <w:rPr>
          <w:rFonts w:hint="eastAsia" w:ascii="仿宋" w:hAnsi="仿宋" w:eastAsia="仿宋" w:cs="宋体"/>
          <w:sz w:val="24"/>
          <w:szCs w:val="24"/>
        </w:rPr>
        <w:t>行业；制造商为</w:t>
      </w:r>
      <w:r>
        <w:rPr>
          <w:rFonts w:hint="eastAsia" w:ascii="仿宋" w:hAnsi="仿宋" w:eastAsia="仿宋" w:cs="宋体"/>
          <w:sz w:val="24"/>
          <w:szCs w:val="24"/>
          <w:u w:val="single"/>
        </w:rPr>
        <w:t>（企业名称）</w:t>
      </w:r>
      <w:r>
        <w:rPr>
          <w:rFonts w:hint="eastAsia" w:ascii="仿宋" w:hAnsi="仿宋" w:eastAsia="仿宋" w:cs="宋体"/>
          <w:sz w:val="24"/>
          <w:szCs w:val="24"/>
        </w:rPr>
        <w:t>，从业人员人，营业收入为万元，资产总额为万元，属于</w:t>
      </w:r>
      <w:r>
        <w:rPr>
          <w:rFonts w:hint="eastAsia" w:ascii="仿宋" w:hAnsi="仿宋" w:eastAsia="仿宋" w:cs="宋体"/>
          <w:sz w:val="24"/>
          <w:szCs w:val="24"/>
          <w:u w:val="single"/>
        </w:rPr>
        <w:t>（中型企业、小型企业、微型企业）</w:t>
      </w:r>
      <w:r>
        <w:rPr>
          <w:rFonts w:hint="eastAsia" w:ascii="仿宋" w:hAnsi="仿宋" w:eastAsia="仿宋" w:cs="宋体"/>
          <w:sz w:val="24"/>
          <w:szCs w:val="24"/>
        </w:rPr>
        <w:t>；</w:t>
      </w:r>
    </w:p>
    <w:p>
      <w:pPr>
        <w:tabs>
          <w:tab w:val="left" w:pos="6300"/>
        </w:tabs>
        <w:snapToGrid w:val="0"/>
        <w:spacing w:after="200" w:line="500" w:lineRule="exact"/>
        <w:ind w:right="782" w:firstLine="480" w:firstLineChars="200"/>
        <w:rPr>
          <w:rFonts w:ascii="仿宋" w:hAnsi="仿宋" w:eastAsia="仿宋" w:cs="宋体"/>
          <w:sz w:val="24"/>
          <w:szCs w:val="24"/>
        </w:rPr>
      </w:pPr>
      <w:r>
        <w:rPr>
          <w:rFonts w:hint="eastAsia" w:ascii="仿宋" w:hAnsi="仿宋" w:eastAsia="仿宋" w:cs="宋体"/>
          <w:sz w:val="24"/>
          <w:szCs w:val="24"/>
        </w:rPr>
        <w:t>2.</w:t>
      </w:r>
      <w:r>
        <w:rPr>
          <w:rFonts w:hint="eastAsia" w:ascii="仿宋" w:hAnsi="仿宋" w:eastAsia="仿宋" w:cs="宋体"/>
          <w:sz w:val="24"/>
          <w:szCs w:val="24"/>
          <w:u w:val="single"/>
        </w:rPr>
        <w:t xml:space="preserve"> （标的名称）</w:t>
      </w:r>
      <w:r>
        <w:rPr>
          <w:rFonts w:hint="eastAsia" w:ascii="仿宋" w:hAnsi="仿宋" w:eastAsia="仿宋" w:cs="宋体"/>
          <w:sz w:val="24"/>
          <w:szCs w:val="24"/>
        </w:rPr>
        <w:t>，属于</w:t>
      </w:r>
      <w:r>
        <w:rPr>
          <w:rFonts w:hint="eastAsia" w:ascii="仿宋" w:hAnsi="仿宋" w:eastAsia="仿宋" w:cs="宋体"/>
          <w:sz w:val="24"/>
          <w:szCs w:val="24"/>
          <w:u w:val="single"/>
        </w:rPr>
        <w:t>（采购文件中明确的所属行业）</w:t>
      </w:r>
      <w:r>
        <w:rPr>
          <w:rFonts w:hint="eastAsia" w:ascii="仿宋" w:hAnsi="仿宋" w:eastAsia="仿宋" w:cs="宋体"/>
          <w:sz w:val="24"/>
          <w:szCs w:val="24"/>
        </w:rPr>
        <w:t>行业；制造商为</w:t>
      </w:r>
      <w:r>
        <w:rPr>
          <w:rFonts w:hint="eastAsia" w:ascii="仿宋" w:hAnsi="仿宋" w:eastAsia="仿宋" w:cs="宋体"/>
          <w:sz w:val="24"/>
          <w:szCs w:val="24"/>
          <w:u w:val="single"/>
        </w:rPr>
        <w:t>（企业名称）</w:t>
      </w:r>
      <w:r>
        <w:rPr>
          <w:rFonts w:hint="eastAsia" w:ascii="仿宋" w:hAnsi="仿宋" w:eastAsia="仿宋" w:cs="宋体"/>
          <w:sz w:val="24"/>
          <w:szCs w:val="24"/>
        </w:rPr>
        <w:t>，从业人员人，营业收入为万元，资产总额为万元，属于</w:t>
      </w:r>
      <w:r>
        <w:rPr>
          <w:rFonts w:hint="eastAsia" w:ascii="仿宋" w:hAnsi="仿宋" w:eastAsia="仿宋" w:cs="宋体"/>
          <w:sz w:val="24"/>
          <w:szCs w:val="24"/>
          <w:u w:val="single"/>
        </w:rPr>
        <w:t>（中型企业、小型企业、微型企业）</w:t>
      </w:r>
      <w:r>
        <w:rPr>
          <w:rFonts w:hint="eastAsia" w:ascii="仿宋" w:hAnsi="仿宋" w:eastAsia="仿宋" w:cs="宋体"/>
          <w:sz w:val="24"/>
          <w:szCs w:val="24"/>
        </w:rPr>
        <w:t>；</w:t>
      </w:r>
    </w:p>
    <w:p>
      <w:pPr>
        <w:tabs>
          <w:tab w:val="left" w:pos="6300"/>
        </w:tabs>
        <w:snapToGrid w:val="0"/>
        <w:spacing w:after="200" w:line="500" w:lineRule="exact"/>
        <w:ind w:right="782" w:firstLine="480" w:firstLineChars="200"/>
        <w:rPr>
          <w:rFonts w:ascii="仿宋" w:hAnsi="仿宋" w:eastAsia="仿宋" w:cs="宋体"/>
          <w:sz w:val="24"/>
          <w:szCs w:val="24"/>
        </w:rPr>
      </w:pPr>
      <w:r>
        <w:rPr>
          <w:rFonts w:hint="eastAsia" w:ascii="仿宋" w:hAnsi="仿宋" w:eastAsia="仿宋" w:cs="宋体"/>
          <w:sz w:val="24"/>
          <w:szCs w:val="24"/>
        </w:rPr>
        <w:t>……</w:t>
      </w:r>
    </w:p>
    <w:p>
      <w:pPr>
        <w:tabs>
          <w:tab w:val="left" w:pos="6300"/>
        </w:tabs>
        <w:snapToGrid w:val="0"/>
        <w:spacing w:after="200" w:line="500" w:lineRule="exact"/>
        <w:ind w:firstLine="480" w:firstLineChars="200"/>
        <w:rPr>
          <w:rFonts w:ascii="仿宋" w:hAnsi="仿宋" w:eastAsia="仿宋" w:cs="宋体"/>
          <w:sz w:val="24"/>
          <w:szCs w:val="24"/>
        </w:rPr>
      </w:pPr>
      <w:r>
        <w:rPr>
          <w:rFonts w:hint="eastAsia" w:ascii="仿宋" w:hAnsi="仿宋" w:eastAsia="仿宋" w:cs="宋体"/>
          <w:sz w:val="24"/>
          <w:szCs w:val="24"/>
        </w:rPr>
        <w:t>以上企业，不属于大企业的分支机构，不存在控股股东为大企业的情形，也不存在与大企业的负责人为同一人的情形。</w:t>
      </w:r>
    </w:p>
    <w:p>
      <w:pPr>
        <w:tabs>
          <w:tab w:val="left" w:pos="6300"/>
        </w:tabs>
        <w:snapToGrid w:val="0"/>
        <w:spacing w:after="200" w:line="500" w:lineRule="exact"/>
        <w:ind w:firstLine="480" w:firstLineChars="200"/>
        <w:rPr>
          <w:rFonts w:ascii="仿宋" w:hAnsi="仿宋" w:eastAsia="仿宋" w:cs="宋体"/>
          <w:sz w:val="24"/>
          <w:szCs w:val="24"/>
        </w:rPr>
      </w:pPr>
      <w:r>
        <w:rPr>
          <w:rFonts w:hint="eastAsia" w:ascii="仿宋" w:hAnsi="仿宋" w:eastAsia="仿宋" w:cs="宋体"/>
          <w:sz w:val="24"/>
          <w:szCs w:val="24"/>
        </w:rPr>
        <w:t>本企业对上述声明内容的真实性负责。如有虚假，将依法承担相应责任。</w:t>
      </w:r>
    </w:p>
    <w:p>
      <w:pPr>
        <w:tabs>
          <w:tab w:val="left" w:pos="6300"/>
        </w:tabs>
        <w:snapToGrid w:val="0"/>
        <w:spacing w:after="200" w:line="500" w:lineRule="exact"/>
        <w:ind w:firstLine="480" w:firstLineChars="200"/>
        <w:rPr>
          <w:rFonts w:ascii="仿宋" w:hAnsi="仿宋" w:eastAsia="仿宋" w:cs="宋体"/>
          <w:sz w:val="24"/>
          <w:szCs w:val="24"/>
        </w:rPr>
      </w:pPr>
    </w:p>
    <w:p>
      <w:pPr>
        <w:tabs>
          <w:tab w:val="left" w:pos="6300"/>
        </w:tabs>
        <w:snapToGrid w:val="0"/>
        <w:spacing w:after="200" w:line="500" w:lineRule="exact"/>
        <w:ind w:firstLine="6120" w:firstLineChars="2550"/>
        <w:rPr>
          <w:rFonts w:ascii="仿宋" w:hAnsi="仿宋" w:eastAsia="仿宋" w:cs="宋体"/>
          <w:sz w:val="24"/>
          <w:szCs w:val="24"/>
        </w:rPr>
      </w:pPr>
      <w:r>
        <w:rPr>
          <w:rFonts w:hint="eastAsia" w:ascii="仿宋" w:hAnsi="仿宋" w:eastAsia="仿宋" w:cs="宋体"/>
          <w:sz w:val="24"/>
          <w:szCs w:val="24"/>
        </w:rPr>
        <w:t xml:space="preserve">企业名称（盖章）： </w:t>
      </w:r>
    </w:p>
    <w:p>
      <w:pPr>
        <w:tabs>
          <w:tab w:val="left" w:pos="6300"/>
        </w:tabs>
        <w:snapToGrid w:val="0"/>
        <w:spacing w:after="200" w:line="500" w:lineRule="exact"/>
        <w:ind w:firstLine="6120" w:firstLineChars="2550"/>
        <w:rPr>
          <w:rFonts w:ascii="仿宋" w:hAnsi="仿宋" w:eastAsia="仿宋" w:cs="宋体"/>
          <w:sz w:val="24"/>
          <w:szCs w:val="24"/>
        </w:rPr>
      </w:pPr>
      <w:r>
        <w:rPr>
          <w:rFonts w:hint="eastAsia" w:ascii="仿宋" w:hAnsi="仿宋" w:eastAsia="仿宋" w:cs="宋体"/>
          <w:sz w:val="24"/>
          <w:szCs w:val="24"/>
        </w:rPr>
        <w:t>日期：</w:t>
      </w:r>
    </w:p>
    <w:p>
      <w:pPr>
        <w:tabs>
          <w:tab w:val="left" w:pos="6300"/>
        </w:tabs>
        <w:snapToGrid w:val="0"/>
        <w:spacing w:after="200" w:line="270" w:lineRule="exact"/>
        <w:ind w:firstLine="561"/>
        <w:jc w:val="left"/>
        <w:rPr>
          <w:rFonts w:ascii="仿宋" w:hAnsi="仿宋" w:eastAsia="仿宋" w:cs="宋体"/>
          <w:b/>
          <w:bCs/>
          <w:sz w:val="24"/>
          <w:szCs w:val="24"/>
        </w:rPr>
      </w:pPr>
      <w:r>
        <w:rPr>
          <w:rFonts w:hint="eastAsia" w:ascii="仿宋" w:hAnsi="仿宋" w:eastAsia="仿宋" w:cs="宋体"/>
          <w:b/>
          <w:bCs/>
          <w:sz w:val="24"/>
          <w:szCs w:val="24"/>
        </w:rPr>
        <w:t>填写时应注意以下事项：</w:t>
      </w:r>
    </w:p>
    <w:p>
      <w:pPr>
        <w:tabs>
          <w:tab w:val="left" w:pos="6300"/>
        </w:tabs>
        <w:snapToGrid w:val="0"/>
        <w:spacing w:after="200" w:line="270" w:lineRule="exact"/>
        <w:ind w:firstLine="561"/>
        <w:jc w:val="left"/>
        <w:rPr>
          <w:rFonts w:ascii="仿宋" w:hAnsi="仿宋" w:eastAsia="仿宋" w:cs="宋体"/>
          <w:b/>
          <w:sz w:val="24"/>
          <w:szCs w:val="24"/>
        </w:rPr>
      </w:pPr>
      <w:r>
        <w:rPr>
          <w:rFonts w:hint="eastAsia" w:ascii="仿宋" w:hAnsi="仿宋" w:eastAsia="仿宋" w:cs="宋体"/>
          <w:b/>
          <w:sz w:val="24"/>
          <w:szCs w:val="24"/>
        </w:rPr>
        <w:t>1.从业人员、营业收入、资产总额填报上一年度数据，无上一年度数据的新成立企业可不填报。</w:t>
      </w:r>
    </w:p>
    <w:p>
      <w:pPr>
        <w:tabs>
          <w:tab w:val="left" w:pos="6300"/>
        </w:tabs>
        <w:snapToGrid w:val="0"/>
        <w:spacing w:after="200" w:line="270" w:lineRule="exact"/>
        <w:ind w:firstLine="561"/>
        <w:jc w:val="left"/>
        <w:rPr>
          <w:rFonts w:ascii="仿宋" w:hAnsi="仿宋" w:eastAsia="仿宋" w:cs="宋体"/>
          <w:b/>
          <w:sz w:val="24"/>
          <w:szCs w:val="24"/>
        </w:rPr>
      </w:pPr>
      <w:r>
        <w:rPr>
          <w:rFonts w:hint="eastAsia" w:ascii="仿宋" w:hAnsi="仿宋" w:eastAsia="仿宋" w:cs="宋体"/>
          <w:b/>
          <w:sz w:val="24"/>
          <w:szCs w:val="24"/>
        </w:rPr>
        <w:t>2.供应商未填写所属行业，或所填写企业类型与相应行业划型标准不一致的，视为未提供《中小企业声明函》，不享受中小企业扶持政策。</w:t>
      </w:r>
    </w:p>
    <w:p>
      <w:pPr>
        <w:tabs>
          <w:tab w:val="left" w:pos="6300"/>
        </w:tabs>
        <w:snapToGrid w:val="0"/>
        <w:spacing w:after="200" w:line="270" w:lineRule="exact"/>
        <w:ind w:firstLine="561"/>
        <w:jc w:val="left"/>
        <w:rPr>
          <w:rFonts w:ascii="仿宋" w:hAnsi="仿宋" w:eastAsia="仿宋" w:cs="宋体"/>
          <w:b/>
          <w:sz w:val="24"/>
          <w:szCs w:val="24"/>
        </w:rPr>
      </w:pPr>
      <w:r>
        <w:rPr>
          <w:rFonts w:hint="eastAsia" w:ascii="仿宋" w:hAnsi="仿宋" w:eastAsia="仿宋" w:cs="宋体"/>
          <w:b/>
          <w:sz w:val="24"/>
          <w:szCs w:val="24"/>
        </w:rPr>
        <w:t>3.中小企业应当按照《中小企业划型标准规定》（工信部联企业〔2011〕300号），如实填写并提交《中小企业声明函》。</w:t>
      </w:r>
    </w:p>
    <w:p>
      <w:pPr>
        <w:tabs>
          <w:tab w:val="left" w:pos="6300"/>
        </w:tabs>
        <w:snapToGrid w:val="0"/>
        <w:spacing w:after="200" w:line="270" w:lineRule="exact"/>
        <w:ind w:firstLine="561"/>
        <w:jc w:val="left"/>
        <w:rPr>
          <w:rFonts w:ascii="仿宋" w:hAnsi="仿宋" w:eastAsia="仿宋" w:cs="宋体"/>
          <w:b/>
          <w:sz w:val="24"/>
          <w:szCs w:val="24"/>
        </w:rPr>
      </w:pPr>
      <w:r>
        <w:rPr>
          <w:rFonts w:hint="eastAsia" w:ascii="仿宋" w:hAnsi="仿宋" w:eastAsia="仿宋" w:cs="宋体"/>
          <w:b/>
          <w:sz w:val="24"/>
          <w:szCs w:val="24"/>
        </w:rPr>
        <w:t>注：各行业划型标准：</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after="200" w:line="270" w:lineRule="exact"/>
        <w:ind w:firstLine="561"/>
        <w:jc w:val="left"/>
        <w:rPr>
          <w:rFonts w:ascii="仿宋" w:hAnsi="仿宋" w:eastAsia="仿宋" w:cs="宋体"/>
          <w:sz w:val="24"/>
          <w:szCs w:val="24"/>
        </w:rPr>
      </w:pPr>
      <w:r>
        <w:rPr>
          <w:rFonts w:hint="eastAsia" w:ascii="仿宋" w:hAnsi="仿宋" w:eastAsia="仿宋" w:cs="宋体"/>
          <w:sz w:val="24"/>
          <w:szCs w:val="24"/>
        </w:rPr>
        <w:t>（十六）其他未列明行业。从业人员300人以下的为中小微型企业。其中，从业人员100人及以上的为中型企业；从业人员10人及以上的为小型企业；从业人员10人以下的为微型企业。</w:t>
      </w:r>
    </w:p>
    <w:p>
      <w:pPr>
        <w:spacing w:after="200" w:line="500" w:lineRule="exact"/>
        <w:ind w:firstLine="480" w:firstLineChars="200"/>
        <w:rPr>
          <w:rFonts w:ascii="宋体" w:hAnsi="宋体" w:cs="宋体"/>
          <w:sz w:val="24"/>
          <w:szCs w:val="28"/>
        </w:rPr>
      </w:pPr>
    </w:p>
    <w:p>
      <w:pPr>
        <w:widowControl/>
        <w:jc w:val="left"/>
        <w:rPr>
          <w:rFonts w:ascii="仿宋" w:hAnsi="仿宋" w:eastAsia="仿宋" w:cs="仿宋"/>
          <w:b/>
          <w:szCs w:val="28"/>
        </w:rPr>
      </w:pPr>
      <w:r>
        <w:rPr>
          <w:rFonts w:ascii="仿宋" w:hAnsi="仿宋" w:eastAsia="仿宋" w:cs="仿宋"/>
          <w:b/>
          <w:szCs w:val="28"/>
        </w:rPr>
        <w:br w:type="page"/>
      </w:r>
    </w:p>
    <w:p>
      <w:pPr>
        <w:spacing w:after="200" w:line="276" w:lineRule="auto"/>
        <w:rPr>
          <w:rFonts w:ascii="仿宋" w:hAnsi="仿宋" w:eastAsia="仿宋" w:cs="仿宋"/>
          <w:b/>
          <w:szCs w:val="28"/>
        </w:rPr>
      </w:pPr>
      <w:r>
        <w:rPr>
          <w:rFonts w:hint="eastAsia" w:ascii="仿宋" w:hAnsi="仿宋" w:eastAsia="仿宋" w:cs="仿宋"/>
          <w:b/>
          <w:szCs w:val="28"/>
        </w:rPr>
        <w:t>（二）监狱企业证明文件</w:t>
      </w:r>
      <w:bookmarkEnd w:id="275"/>
      <w:bookmarkEnd w:id="276"/>
      <w:bookmarkEnd w:id="277"/>
      <w:bookmarkEnd w:id="278"/>
      <w:bookmarkEnd w:id="279"/>
      <w:bookmarkEnd w:id="280"/>
    </w:p>
    <w:p>
      <w:pPr>
        <w:tabs>
          <w:tab w:val="left" w:pos="6300"/>
        </w:tabs>
        <w:snapToGrid w:val="0"/>
        <w:spacing w:line="500" w:lineRule="exact"/>
        <w:ind w:firstLine="480" w:firstLineChars="200"/>
        <w:rPr>
          <w:rFonts w:ascii="仿宋" w:hAnsi="仿宋" w:eastAsia="仿宋" w:cs="仿宋"/>
          <w:sz w:val="24"/>
        </w:rPr>
      </w:pPr>
      <w:bookmarkStart w:id="281" w:name="_Toc23532"/>
      <w:bookmarkStart w:id="282" w:name="_Toc14440"/>
      <w:bookmarkStart w:id="283" w:name="_Toc2239"/>
      <w:bookmarkStart w:id="284" w:name="_Toc28243"/>
      <w:r>
        <w:rPr>
          <w:rFonts w:hint="eastAsia" w:ascii="仿宋" w:hAnsi="仿宋" w:eastAsia="仿宋" w:cs="仿宋"/>
          <w:sz w:val="24"/>
        </w:rPr>
        <w:t>以省级以上监狱管理局、戒毒管理局（含新疆生产建设兵团）出具的属于监狱企业的证明文件为准。（非监狱企业不提供）</w:t>
      </w:r>
      <w:bookmarkEnd w:id="281"/>
      <w:bookmarkEnd w:id="282"/>
      <w:bookmarkEnd w:id="283"/>
      <w:bookmarkEnd w:id="284"/>
    </w:p>
    <w:p>
      <w:pPr>
        <w:tabs>
          <w:tab w:val="left" w:pos="6300"/>
        </w:tabs>
        <w:snapToGrid w:val="0"/>
        <w:spacing w:line="500" w:lineRule="exact"/>
        <w:ind w:firstLine="480" w:firstLineChars="200"/>
        <w:outlineLvl w:val="0"/>
        <w:rPr>
          <w:rFonts w:ascii="仿宋" w:hAnsi="仿宋" w:eastAsia="仿宋" w:cs="仿宋"/>
          <w:sz w:val="24"/>
        </w:rPr>
      </w:pPr>
      <w:r>
        <w:rPr>
          <w:rFonts w:hint="eastAsia" w:ascii="仿宋" w:hAnsi="仿宋" w:eastAsia="仿宋" w:cs="仿宋"/>
          <w:sz w:val="24"/>
        </w:rPr>
        <w:br w:type="page"/>
      </w:r>
    </w:p>
    <w:p>
      <w:pPr>
        <w:tabs>
          <w:tab w:val="left" w:pos="6300"/>
        </w:tabs>
        <w:snapToGrid w:val="0"/>
        <w:spacing w:line="500" w:lineRule="exact"/>
        <w:ind w:firstLine="480" w:firstLineChars="200"/>
        <w:outlineLvl w:val="0"/>
        <w:rPr>
          <w:rFonts w:ascii="仿宋" w:hAnsi="仿宋" w:eastAsia="仿宋" w:cs="仿宋"/>
          <w:sz w:val="24"/>
        </w:rPr>
      </w:pPr>
    </w:p>
    <w:p>
      <w:pPr>
        <w:tabs>
          <w:tab w:val="left" w:pos="6300"/>
        </w:tabs>
        <w:snapToGrid w:val="0"/>
        <w:spacing w:line="500" w:lineRule="exact"/>
        <w:ind w:firstLine="480" w:firstLineChars="200"/>
        <w:outlineLvl w:val="0"/>
        <w:rPr>
          <w:rFonts w:ascii="仿宋" w:hAnsi="仿宋" w:eastAsia="仿宋" w:cs="仿宋"/>
          <w:sz w:val="24"/>
        </w:rPr>
      </w:pPr>
    </w:p>
    <w:p>
      <w:pPr>
        <w:tabs>
          <w:tab w:val="left" w:pos="6300"/>
        </w:tabs>
        <w:snapToGrid w:val="0"/>
        <w:spacing w:line="500" w:lineRule="exact"/>
        <w:ind w:firstLine="562" w:firstLineChars="200"/>
        <w:rPr>
          <w:rFonts w:ascii="仿宋" w:hAnsi="仿宋" w:eastAsia="仿宋" w:cs="仿宋"/>
          <w:sz w:val="24"/>
        </w:rPr>
      </w:pPr>
      <w:bookmarkStart w:id="285" w:name="_Toc13712"/>
      <w:bookmarkStart w:id="286" w:name="_Toc24786"/>
      <w:bookmarkStart w:id="287" w:name="_Toc29142"/>
      <w:bookmarkStart w:id="288" w:name="_Toc26471"/>
      <w:bookmarkStart w:id="289" w:name="_Toc20419"/>
      <w:bookmarkStart w:id="290" w:name="_Toc4581"/>
      <w:r>
        <w:rPr>
          <w:rFonts w:hint="eastAsia" w:ascii="仿宋" w:hAnsi="仿宋" w:eastAsia="仿宋" w:cs="仿宋"/>
          <w:b/>
          <w:szCs w:val="28"/>
        </w:rPr>
        <w:t>（三）残疾人福利性单位声明函</w:t>
      </w:r>
      <w:bookmarkEnd w:id="285"/>
      <w:bookmarkEnd w:id="286"/>
      <w:bookmarkEnd w:id="287"/>
      <w:bookmarkEnd w:id="288"/>
      <w:bookmarkEnd w:id="289"/>
      <w:bookmarkEnd w:id="290"/>
    </w:p>
    <w:p>
      <w:pPr>
        <w:tabs>
          <w:tab w:val="left" w:pos="6300"/>
        </w:tabs>
        <w:snapToGrid w:val="0"/>
        <w:spacing w:line="500" w:lineRule="exact"/>
        <w:ind w:firstLine="480" w:firstLineChars="200"/>
        <w:outlineLvl w:val="0"/>
        <w:rPr>
          <w:rFonts w:ascii="仿宋" w:hAnsi="仿宋" w:eastAsia="仿宋" w:cs="仿宋"/>
          <w:sz w:val="24"/>
        </w:rPr>
      </w:pPr>
    </w:p>
    <w:p>
      <w:pPr>
        <w:tabs>
          <w:tab w:val="left" w:pos="6300"/>
        </w:tabs>
        <w:snapToGrid w:val="0"/>
        <w:spacing w:line="500" w:lineRule="exact"/>
        <w:ind w:firstLine="480" w:firstLineChars="200"/>
        <w:jc w:val="center"/>
        <w:rPr>
          <w:rFonts w:ascii="仿宋" w:hAnsi="仿宋" w:eastAsia="仿宋" w:cs="仿宋"/>
          <w:sz w:val="24"/>
        </w:rPr>
      </w:pPr>
      <w:bookmarkStart w:id="291" w:name="_Toc11691"/>
      <w:bookmarkStart w:id="292" w:name="_Toc14"/>
      <w:bookmarkStart w:id="293" w:name="_Toc4239"/>
      <w:bookmarkStart w:id="294" w:name="_Toc26722"/>
      <w:r>
        <w:rPr>
          <w:rFonts w:hint="eastAsia" w:ascii="仿宋" w:hAnsi="仿宋" w:eastAsia="仿宋" w:cs="仿宋"/>
          <w:sz w:val="24"/>
        </w:rPr>
        <w:t>残疾人福利性单位声明函</w:t>
      </w:r>
      <w:bookmarkEnd w:id="291"/>
      <w:bookmarkEnd w:id="292"/>
      <w:bookmarkEnd w:id="293"/>
      <w:bookmarkEnd w:id="294"/>
    </w:p>
    <w:p>
      <w:pPr>
        <w:tabs>
          <w:tab w:val="left" w:pos="6300"/>
        </w:tabs>
        <w:snapToGrid w:val="0"/>
        <w:spacing w:line="500" w:lineRule="exact"/>
        <w:ind w:firstLine="480" w:firstLineChars="200"/>
        <w:rPr>
          <w:rFonts w:ascii="仿宋" w:hAnsi="仿宋" w:eastAsia="仿宋" w:cs="仿宋"/>
          <w:sz w:val="24"/>
        </w:rPr>
      </w:pPr>
      <w:bookmarkStart w:id="295" w:name="_Toc19053"/>
      <w:bookmarkStart w:id="296" w:name="_Toc7370"/>
      <w:bookmarkStart w:id="297" w:name="_Toc26762"/>
      <w:bookmarkStart w:id="298" w:name="_Toc1363"/>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295"/>
      <w:bookmarkEnd w:id="296"/>
      <w:bookmarkEnd w:id="297"/>
      <w:bookmarkEnd w:id="298"/>
    </w:p>
    <w:p>
      <w:pPr>
        <w:tabs>
          <w:tab w:val="left" w:pos="6300"/>
        </w:tabs>
        <w:snapToGrid w:val="0"/>
        <w:spacing w:line="500" w:lineRule="exact"/>
        <w:ind w:firstLine="480" w:firstLineChars="200"/>
        <w:rPr>
          <w:rFonts w:ascii="仿宋" w:hAnsi="仿宋" w:eastAsia="仿宋" w:cs="仿宋"/>
          <w:sz w:val="24"/>
        </w:rPr>
      </w:pPr>
      <w:bookmarkStart w:id="299" w:name="_Toc4332"/>
      <w:bookmarkStart w:id="300" w:name="_Toc7550"/>
      <w:bookmarkStart w:id="301" w:name="_Toc8856"/>
      <w:bookmarkStart w:id="302" w:name="_Toc542"/>
      <w:r>
        <w:rPr>
          <w:rFonts w:hint="eastAsia" w:ascii="仿宋" w:hAnsi="仿宋" w:eastAsia="仿宋" w:cs="仿宋"/>
          <w:sz w:val="24"/>
        </w:rPr>
        <w:t>本单位对上述声明的真实性负责。如有虚假，将依法承担相应责任。（非残疾人福利性单位不提供）</w:t>
      </w:r>
      <w:bookmarkEnd w:id="299"/>
      <w:bookmarkEnd w:id="300"/>
      <w:bookmarkEnd w:id="301"/>
      <w:bookmarkEnd w:id="302"/>
    </w:p>
    <w:p>
      <w:pPr>
        <w:tabs>
          <w:tab w:val="left" w:pos="6300"/>
        </w:tabs>
        <w:snapToGrid w:val="0"/>
        <w:spacing w:line="500" w:lineRule="exact"/>
        <w:ind w:firstLine="480" w:firstLineChars="200"/>
        <w:outlineLvl w:val="0"/>
        <w:rPr>
          <w:rFonts w:ascii="仿宋" w:hAnsi="仿宋" w:eastAsia="仿宋" w:cs="仿宋"/>
          <w:sz w:val="24"/>
        </w:rPr>
      </w:pPr>
    </w:p>
    <w:p>
      <w:pPr>
        <w:tabs>
          <w:tab w:val="left" w:pos="6300"/>
        </w:tabs>
        <w:snapToGrid w:val="0"/>
        <w:spacing w:line="500" w:lineRule="exact"/>
        <w:ind w:firstLine="480" w:firstLineChars="200"/>
        <w:rPr>
          <w:rFonts w:ascii="仿宋" w:hAnsi="仿宋" w:eastAsia="仿宋" w:cs="仿宋"/>
          <w:sz w:val="24"/>
        </w:rPr>
      </w:pPr>
      <w:bookmarkStart w:id="303" w:name="_Toc1321"/>
      <w:bookmarkStart w:id="304" w:name="_Toc23415"/>
      <w:bookmarkStart w:id="305" w:name="_Toc12898"/>
      <w:bookmarkStart w:id="306" w:name="_Toc492"/>
      <w:r>
        <w:rPr>
          <w:rFonts w:hint="eastAsia" w:ascii="仿宋" w:hAnsi="仿宋" w:eastAsia="仿宋" w:cs="仿宋"/>
          <w:sz w:val="24"/>
          <w:szCs w:val="24"/>
        </w:rPr>
        <w:t>供应商</w:t>
      </w:r>
      <w:r>
        <w:rPr>
          <w:rFonts w:hint="eastAsia" w:ascii="仿宋" w:hAnsi="仿宋" w:eastAsia="仿宋" w:cs="仿宋"/>
          <w:sz w:val="24"/>
        </w:rPr>
        <w:t>名称（盖章）：</w:t>
      </w:r>
      <w:bookmarkEnd w:id="303"/>
      <w:bookmarkEnd w:id="304"/>
      <w:bookmarkEnd w:id="305"/>
      <w:bookmarkEnd w:id="306"/>
    </w:p>
    <w:p>
      <w:pPr>
        <w:tabs>
          <w:tab w:val="left" w:pos="6300"/>
        </w:tabs>
        <w:snapToGrid w:val="0"/>
        <w:spacing w:line="500" w:lineRule="exact"/>
        <w:ind w:firstLine="480" w:firstLineChars="200"/>
        <w:rPr>
          <w:rFonts w:ascii="仿宋" w:hAnsi="仿宋" w:eastAsia="仿宋" w:cs="仿宋"/>
          <w:sz w:val="24"/>
        </w:rPr>
      </w:pPr>
      <w:bookmarkStart w:id="307" w:name="_Toc7980"/>
      <w:bookmarkStart w:id="308" w:name="_Toc26742"/>
      <w:bookmarkStart w:id="309" w:name="_Toc22488"/>
      <w:bookmarkStart w:id="310" w:name="_Toc13991"/>
      <w:r>
        <w:rPr>
          <w:rFonts w:hint="eastAsia" w:ascii="仿宋" w:hAnsi="仿宋" w:eastAsia="仿宋" w:cs="仿宋"/>
          <w:sz w:val="24"/>
        </w:rPr>
        <w:t>日  期：</w:t>
      </w:r>
      <w:bookmarkEnd w:id="307"/>
      <w:bookmarkEnd w:id="308"/>
      <w:bookmarkEnd w:id="309"/>
      <w:bookmarkEnd w:id="310"/>
    </w:p>
    <w:p>
      <w:pPr>
        <w:tabs>
          <w:tab w:val="left" w:pos="6300"/>
        </w:tabs>
        <w:snapToGrid w:val="0"/>
        <w:spacing w:line="500" w:lineRule="exact"/>
        <w:ind w:firstLine="562" w:firstLineChars="200"/>
        <w:outlineLvl w:val="0"/>
        <w:rPr>
          <w:rFonts w:ascii="仿宋" w:hAnsi="仿宋" w:eastAsia="仿宋" w:cs="仿宋"/>
          <w:b/>
          <w:szCs w:val="28"/>
        </w:rPr>
      </w:pPr>
    </w:p>
    <w:p>
      <w:pPr>
        <w:tabs>
          <w:tab w:val="left" w:pos="6300"/>
        </w:tabs>
        <w:snapToGrid w:val="0"/>
        <w:spacing w:line="500" w:lineRule="exact"/>
        <w:ind w:firstLine="562" w:firstLineChars="200"/>
        <w:rPr>
          <w:rFonts w:ascii="仿宋" w:hAnsi="仿宋" w:eastAsia="仿宋" w:cs="仿宋"/>
          <w:b/>
          <w:szCs w:val="28"/>
        </w:rPr>
      </w:pPr>
      <w:r>
        <w:rPr>
          <w:rFonts w:hint="eastAsia" w:ascii="仿宋" w:hAnsi="仿宋" w:eastAsia="仿宋" w:cs="仿宋"/>
          <w:b/>
          <w:szCs w:val="28"/>
        </w:rPr>
        <w:br w:type="page"/>
      </w:r>
      <w:bookmarkStart w:id="311" w:name="_Toc17024"/>
      <w:bookmarkStart w:id="312" w:name="_Toc4759"/>
      <w:bookmarkStart w:id="313" w:name="_Toc24748"/>
      <w:bookmarkStart w:id="314" w:name="_Toc32127"/>
      <w:bookmarkStart w:id="315" w:name="_Toc9716"/>
      <w:bookmarkStart w:id="316" w:name="_Toc1571"/>
      <w:r>
        <w:rPr>
          <w:rFonts w:hint="eastAsia" w:ascii="仿宋" w:hAnsi="仿宋" w:eastAsia="仿宋" w:cs="仿宋"/>
          <w:b/>
          <w:szCs w:val="28"/>
        </w:rPr>
        <w:t>（四）联合体共同联合协议（如果有）</w:t>
      </w:r>
      <w:bookmarkEnd w:id="311"/>
      <w:bookmarkEnd w:id="312"/>
      <w:bookmarkEnd w:id="313"/>
      <w:bookmarkEnd w:id="314"/>
      <w:bookmarkEnd w:id="315"/>
      <w:bookmarkEnd w:id="316"/>
    </w:p>
    <w:p>
      <w:pPr>
        <w:tabs>
          <w:tab w:val="left" w:pos="6300"/>
        </w:tabs>
        <w:snapToGrid w:val="0"/>
        <w:spacing w:line="500" w:lineRule="exact"/>
        <w:ind w:firstLine="562" w:firstLineChars="200"/>
        <w:outlineLvl w:val="0"/>
        <w:rPr>
          <w:rFonts w:ascii="仿宋" w:hAnsi="仿宋" w:eastAsia="仿宋" w:cs="仿宋"/>
          <w:b/>
          <w:szCs w:val="28"/>
        </w:rPr>
      </w:pPr>
      <w:r>
        <w:rPr>
          <w:rFonts w:hint="eastAsia" w:ascii="仿宋" w:hAnsi="仿宋" w:eastAsia="仿宋" w:cs="仿宋"/>
          <w:b/>
          <w:szCs w:val="28"/>
        </w:rPr>
        <w:br w:type="page"/>
      </w:r>
    </w:p>
    <w:p>
      <w:pPr>
        <w:tabs>
          <w:tab w:val="left" w:pos="6300"/>
        </w:tabs>
        <w:snapToGrid w:val="0"/>
        <w:spacing w:line="500" w:lineRule="exact"/>
        <w:ind w:firstLine="562" w:firstLineChars="200"/>
        <w:rPr>
          <w:rFonts w:ascii="仿宋" w:hAnsi="仿宋" w:eastAsia="仿宋" w:cs="仿宋"/>
          <w:b/>
          <w:szCs w:val="28"/>
        </w:rPr>
      </w:pPr>
      <w:bookmarkStart w:id="317" w:name="_Toc16190"/>
      <w:bookmarkStart w:id="318" w:name="_Toc245"/>
      <w:bookmarkStart w:id="319" w:name="_Toc6897"/>
      <w:bookmarkStart w:id="320" w:name="_Toc26286"/>
      <w:bookmarkStart w:id="321" w:name="_Toc28666"/>
      <w:bookmarkStart w:id="322" w:name="_Toc20371"/>
      <w:r>
        <w:rPr>
          <w:rFonts w:hint="eastAsia" w:ascii="仿宋" w:hAnsi="仿宋" w:eastAsia="仿宋" w:cs="仿宋"/>
          <w:b/>
          <w:szCs w:val="28"/>
        </w:rPr>
        <w:t>（五）其他资料</w:t>
      </w:r>
      <w:bookmarkEnd w:id="317"/>
      <w:bookmarkEnd w:id="318"/>
      <w:bookmarkEnd w:id="319"/>
      <w:bookmarkEnd w:id="320"/>
      <w:bookmarkEnd w:id="321"/>
      <w:bookmarkEnd w:id="322"/>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1、保证金缴纳证明材料</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br w:type="page"/>
      </w:r>
      <w:r>
        <w:rPr>
          <w:rFonts w:hint="eastAsia" w:ascii="仿宋" w:hAnsi="仿宋" w:eastAsia="仿宋" w:cs="仿宋"/>
          <w:sz w:val="24"/>
          <w:szCs w:val="24"/>
        </w:rPr>
        <w:t>2、其他与项目有关的资料（自附）：供应商总体情况介绍、其他与本项目有关的资料等。</w:t>
      </w: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sz w:val="24"/>
          <w:szCs w:val="24"/>
        </w:rPr>
      </w:pPr>
    </w:p>
    <w:p>
      <w:pPr>
        <w:spacing w:line="360" w:lineRule="auto"/>
        <w:ind w:firstLine="480" w:firstLineChars="200"/>
        <w:jc w:val="center"/>
        <w:rPr>
          <w:rFonts w:ascii="仿宋" w:hAnsi="仿宋" w:eastAsia="仿宋" w:cs="仿宋"/>
        </w:rPr>
        <w:sectPr>
          <w:pgSz w:w="11907" w:h="16840"/>
          <w:pgMar w:top="1134" w:right="1191" w:bottom="1134" w:left="1304" w:header="851" w:footer="992" w:gutter="0"/>
          <w:pgNumType w:fmt="numberInDash"/>
          <w:cols w:space="720" w:num="1"/>
          <w:docGrid w:linePitch="380" w:charSpace="-5735"/>
        </w:sectPr>
      </w:pPr>
      <w:r>
        <w:rPr>
          <w:rFonts w:hint="eastAsia" w:ascii="仿宋" w:hAnsi="仿宋" w:eastAsia="仿宋" w:cs="仿宋"/>
          <w:sz w:val="24"/>
          <w:szCs w:val="24"/>
        </w:rPr>
        <w:t>（结束）</w:t>
      </w:r>
    </w:p>
    <w:p>
      <w:pPr>
        <w:spacing w:line="360" w:lineRule="auto"/>
        <w:outlineLvl w:val="1"/>
      </w:pPr>
    </w:p>
    <w:sectPr>
      <w:headerReference r:id="rId6"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23B6D5E-634D-458A-BF91-D2AC7719A7C1}"/>
  </w:font>
  <w:font w:name="Arial">
    <w:panose1 w:val="020B0604020202020204"/>
    <w:charset w:val="01"/>
    <w:family w:val="swiss"/>
    <w:pitch w:val="default"/>
    <w:sig w:usb0="E0002EFF" w:usb1="C000785B" w:usb2="00000009" w:usb3="00000000" w:csb0="400001FF" w:csb1="FFFF0000"/>
    <w:embedRegular r:id="rId2" w:fontKey="{0F507146-2981-4C6E-A031-E8317D187705}"/>
  </w:font>
  <w:font w:name="黑体">
    <w:panose1 w:val="02010609060101010101"/>
    <w:charset w:val="86"/>
    <w:family w:val="auto"/>
    <w:pitch w:val="default"/>
    <w:sig w:usb0="800002BF" w:usb1="38CF7CFA" w:usb2="00000016" w:usb3="00000000" w:csb0="00040001" w:csb1="00000000"/>
    <w:embedRegular r:id="rId3" w:fontKey="{312DC9CA-AD82-496F-98FF-FBE471EC0D75}"/>
  </w:font>
  <w:font w:name="Courier New">
    <w:panose1 w:val="02070309020205020404"/>
    <w:charset w:val="01"/>
    <w:family w:val="modern"/>
    <w:pitch w:val="default"/>
    <w:sig w:usb0="E0002EFF" w:usb1="C0007843" w:usb2="00000009" w:usb3="00000000" w:csb0="400001FF" w:csb1="FFFF0000"/>
    <w:embedRegular r:id="rId4" w:fontKey="{20E0A0DE-CD7C-4CC1-85A9-A78C6A2E87D4}"/>
  </w:font>
  <w:font w:name="Symbol">
    <w:panose1 w:val="05050102010706020507"/>
    <w:charset w:val="02"/>
    <w:family w:val="roman"/>
    <w:pitch w:val="default"/>
    <w:sig w:usb0="00000000" w:usb1="00000000" w:usb2="00000000" w:usb3="00000000" w:csb0="80000000" w:csb1="00000000"/>
    <w:embedRegular r:id="rId5" w:fontKey="{CB604BE6-5B39-4B21-A351-8D4998D130A2}"/>
  </w:font>
  <w:font w:name="Calibri">
    <w:panose1 w:val="020F0502020204030204"/>
    <w:charset w:val="00"/>
    <w:family w:val="swiss"/>
    <w:pitch w:val="default"/>
    <w:sig w:usb0="E4002EFF" w:usb1="C000247B" w:usb2="00000009" w:usb3="00000000" w:csb0="200001FF" w:csb1="00000000"/>
    <w:embedRegular r:id="rId6" w:fontKey="{CF6B524B-2DE3-47E8-997F-D594BAC52C36}"/>
  </w:font>
  <w:font w:name="Arial">
    <w:panose1 w:val="020B0604020202020204"/>
    <w:charset w:val="00"/>
    <w:family w:val="swiss"/>
    <w:pitch w:val="default"/>
    <w:sig w:usb0="E0002EFF" w:usb1="C000785B" w:usb2="00000009" w:usb3="00000000" w:csb0="400001FF" w:csb1="FFFF0000"/>
    <w:embedRegular r:id="rId7" w:fontKey="{D34EDAF8-B576-4AA1-8212-60D8DC600F21}"/>
  </w:font>
  <w:font w:name="仿宋_GB2312">
    <w:panose1 w:val="02010609030101010101"/>
    <w:charset w:val="86"/>
    <w:family w:val="modern"/>
    <w:pitch w:val="default"/>
    <w:sig w:usb0="00000001" w:usb1="080E0000" w:usb2="00000000" w:usb3="00000000" w:csb0="00040000" w:csb1="00000000"/>
    <w:embedRegular r:id="rId8" w:fontKey="{EBBCCDB2-0104-4DE3-B7DC-1D8EF5A9ED76}"/>
  </w:font>
  <w:font w:name="Courier New">
    <w:panose1 w:val="02070309020205020404"/>
    <w:charset w:val="00"/>
    <w:family w:val="modern"/>
    <w:pitch w:val="default"/>
    <w:sig w:usb0="E0002EFF" w:usb1="C0007843" w:usb2="00000009" w:usb3="00000000" w:csb0="400001FF" w:csb1="FFFF0000"/>
    <w:embedRegular r:id="rId9" w:fontKey="{C240AED1-1474-43E3-85F2-F409DCA9D9ED}"/>
  </w:font>
  <w:font w:name="仿宋">
    <w:panose1 w:val="02010609060101010101"/>
    <w:charset w:val="86"/>
    <w:family w:val="modern"/>
    <w:pitch w:val="default"/>
    <w:sig w:usb0="800002BF" w:usb1="38CF7CFA" w:usb2="00000016" w:usb3="00000000" w:csb0="00040001" w:csb1="00000000"/>
    <w:embedRegular r:id="rId10" w:fontKey="{D14AC7C6-99CB-4545-ADA7-F06142509722}"/>
  </w:font>
  <w:font w:name="Cambria">
    <w:panose1 w:val="02040503050406030204"/>
    <w:charset w:val="00"/>
    <w:family w:val="roman"/>
    <w:pitch w:val="default"/>
    <w:sig w:usb0="E00006FF" w:usb1="420024FF" w:usb2="02000000" w:usb3="00000000" w:csb0="2000019F" w:csb1="00000000"/>
    <w:embedRegular r:id="rId11" w:fontKey="{9BDDF06D-9475-4947-BA54-A7FCA64214A7}"/>
  </w:font>
  <w:font w:name="方正小标宋_GBK">
    <w:panose1 w:val="03000509000000000000"/>
    <w:charset w:val="86"/>
    <w:family w:val="script"/>
    <w:pitch w:val="default"/>
    <w:sig w:usb0="00000001" w:usb1="080E0000" w:usb2="00000000" w:usb3="00000000" w:csb0="00040000" w:csb1="00000000"/>
    <w:embedRegular r:id="rId12" w:fontKey="{1CF85146-645A-48F4-AA33-E8CB15B73298}"/>
  </w:font>
  <w:font w:name="方正仿宋_GBK">
    <w:panose1 w:val="03000509000000000000"/>
    <w:charset w:val="86"/>
    <w:family w:val="script"/>
    <w:pitch w:val="default"/>
    <w:sig w:usb0="00000001" w:usb1="080E0000" w:usb2="00000000" w:usb3="00000000" w:csb0="00040000" w:csb1="00000000"/>
    <w:embedRegular r:id="rId13" w:fontKey="{7C8DF9E1-4897-4578-8AAD-79D859CC259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4" w:fontKey="{1A2DC652-7739-4350-A4C3-F1EADCD918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rect id="4097" o:spid="_x0000_s1026" o:spt="1" style="position:absolute;left:0pt;margin-top:0pt;height:10.35pt;width:9.05pt;mso-position-horizontal:center;mso-position-horizontal-relative:margin;mso-wrap-style:none;z-index:251657216;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L/SwtAAAAADAQAADwAAAAAAAAABACAAAAAiAAAAZHJzL2Rvd25yZXYueG1sUEsBAhQAFAAAAAgA&#10;h07iQNk94pn0AQAA8QMAAA4AAAAAAAAAAQAgAAAAHwEAAGRycy9lMm9Eb2MueG1sUEsFBgAAAAAG&#10;AAYAWQEAAIUFAAAAAA==&#10;">
          <v:path/>
          <v:fill on="f" focussize="0,0"/>
          <v:stroke on="f"/>
          <v:imagedata o:title=""/>
          <o:lock v:ext="edit"/>
          <v:textbox inset="0mm,0mm,0mm,0mm" style="mso-fit-shape-to-text:t;">
            <w:txbxContent>
              <w:p>
                <w:pPr>
                  <w:pStyle w:val="13"/>
                </w:pP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rect id="4098" o:spid="_x0000_s1028" o:spt="1" style="position:absolute;left:0pt;margin-top:0pt;height:10.35pt;width:19.5pt;mso-position-horizontal:center;mso-position-horizontal-relative:margin;mso-wrap-style:none;z-index:251658240;mso-width-relative:page;mso-height-relative:page;" filled="f" stroked="f" coordsize="21600,21600" o:gfxdata="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Dr5GvRAAAAAwEAAA8AAAAAAAAAAQAgAAAAIgAAAGRycy9kb3ducmV2LnhtbFBLAQIUABQAAAAI&#10;AIdO4kCxU7oV9AEAAPEDAAAOAAAAAAAAAAEAIAAAACABAABkcnMvZTJvRG9jLnhtbFBLBQYAAAAA&#10;BgAGAFkBAACGBQAAAAA=&#10;">
          <v:path/>
          <v:fill on="f" focussize="0,0"/>
          <v:stroke on="f"/>
          <v:imagedata o:title=""/>
          <o:lock v:ext="edit"/>
          <v:textbox inset="0mm,0mm,0mm,0mm" style="mso-fit-shape-to-text:t;">
            <w:txbxContent>
              <w:p>
                <w:pPr>
                  <w:pStyle w:val="13"/>
                </w:pPr>
                <w:r>
                  <w:fldChar w:fldCharType="begin"/>
                </w:r>
                <w:r>
                  <w:instrText xml:space="preserve"> PAGE  \* MERGEFORMAT </w:instrText>
                </w:r>
                <w:r>
                  <w:fldChar w:fldCharType="separate"/>
                </w:r>
                <w:r>
                  <w:t>- 13 -</w:t>
                </w:r>
                <w:r>
                  <w:fldChar w:fldCharType="end"/>
                </w:r>
              </w:p>
            </w:txbxContent>
          </v:textbox>
        </v:rect>
      </w:pict>
    </w:r>
    <w:r>
      <w:pict>
        <v:rect id="4099" o:spid="_x0000_s1027" o:spt="1" style="position:absolute;left:0pt;margin-top:0pt;height:10.35pt;width:9.05pt;mso-position-horizontal:center;mso-position-horizontal-relative:margin;mso-wrap-style:none;z-index:251658240;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0&#10;v9LC0AAAAAMBAAAPAAAAAAAAAAEAIAAAACIAAABkcnMvZG93bnJldi54bWxQSwECFAAUAAAACACH&#10;TuJA3reegPMBAADxAwAADgAAAAAAAAABACAAAAAfAQAAZHJzL2Uyb0RvYy54bWxQSwUGAAAAAAYA&#10;BgBZAQAAhAUAAAAA&#10;">
          <v:path/>
          <v:fill on="f" focussize="0,0"/>
          <v:stroke on="f"/>
          <v:imagedata o:title=""/>
          <o:lock v:ext="edit"/>
          <v:textbox inset="0mm,0mm,0mm,0mm" style="mso-fit-shape-to-text:t;">
            <w:txbxContent>
              <w:p>
                <w:pPr>
                  <w:pStyle w:val="13"/>
                </w:pP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spacing w:after="200" w:line="276" w:lineRule="auto"/>
      <w:jc w:val="center"/>
      <w:rPr>
        <w:sz w:val="18"/>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ascii="方正仿宋_GBK" w:eastAsia="方正仿宋_GBK"/>
        <w:sz w:val="21"/>
        <w:szCs w:val="21"/>
      </w:rPr>
    </w:pPr>
    <w:r>
      <w:rPr>
        <w:rFonts w:hint="eastAsia" w:ascii="方正仿宋_GBK" w:eastAsia="方正仿宋_GBK"/>
        <w:sz w:val="21"/>
        <w:szCs w:val="21"/>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05D07"/>
    <w:multiLevelType w:val="singleLevel"/>
    <w:tmpl w:val="0FC05D07"/>
    <w:lvl w:ilvl="0" w:tentative="0">
      <w:start w:val="3"/>
      <w:numFmt w:val="chineseCounting"/>
      <w:suff w:val="space"/>
      <w:lvlText w:val="第%1篇"/>
      <w:lvlJc w:val="left"/>
      <w:rPr>
        <w:rFonts w:hint="eastAsia"/>
      </w:rPr>
    </w:lvl>
  </w:abstractNum>
  <w:abstractNum w:abstractNumId="1">
    <w:nsid w:val="69541292"/>
    <w:multiLevelType w:val="multilevel"/>
    <w:tmpl w:val="6954129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2656D1"/>
    <w:rsid w:val="00005D9D"/>
    <w:rsid w:val="00147286"/>
    <w:rsid w:val="00196FCA"/>
    <w:rsid w:val="001C39FA"/>
    <w:rsid w:val="0024050E"/>
    <w:rsid w:val="002532C9"/>
    <w:rsid w:val="002656D1"/>
    <w:rsid w:val="003038BB"/>
    <w:rsid w:val="00344964"/>
    <w:rsid w:val="003759CC"/>
    <w:rsid w:val="00390988"/>
    <w:rsid w:val="003A16FF"/>
    <w:rsid w:val="003E50C7"/>
    <w:rsid w:val="003F7155"/>
    <w:rsid w:val="004A0EA5"/>
    <w:rsid w:val="004A5713"/>
    <w:rsid w:val="004E39BD"/>
    <w:rsid w:val="00516532"/>
    <w:rsid w:val="00521D18"/>
    <w:rsid w:val="005C3C72"/>
    <w:rsid w:val="005E1CE5"/>
    <w:rsid w:val="00615DC4"/>
    <w:rsid w:val="00615F6D"/>
    <w:rsid w:val="00636A2C"/>
    <w:rsid w:val="006B0CB7"/>
    <w:rsid w:val="00715B09"/>
    <w:rsid w:val="008419F7"/>
    <w:rsid w:val="008F1636"/>
    <w:rsid w:val="0092122B"/>
    <w:rsid w:val="009D247F"/>
    <w:rsid w:val="00A30079"/>
    <w:rsid w:val="00A54D4B"/>
    <w:rsid w:val="00A56D4F"/>
    <w:rsid w:val="00A903AD"/>
    <w:rsid w:val="00AA1426"/>
    <w:rsid w:val="00AE2F15"/>
    <w:rsid w:val="00B77E4F"/>
    <w:rsid w:val="00BF17C1"/>
    <w:rsid w:val="00C04B61"/>
    <w:rsid w:val="00D10FB1"/>
    <w:rsid w:val="00D75803"/>
    <w:rsid w:val="00D970B5"/>
    <w:rsid w:val="00E226F3"/>
    <w:rsid w:val="00E51745"/>
    <w:rsid w:val="00E6407E"/>
    <w:rsid w:val="00F915BC"/>
    <w:rsid w:val="00FA3AF3"/>
    <w:rsid w:val="00FB7C26"/>
    <w:rsid w:val="01202D6F"/>
    <w:rsid w:val="08A437B7"/>
    <w:rsid w:val="0D853066"/>
    <w:rsid w:val="0F8C10F0"/>
    <w:rsid w:val="1727391A"/>
    <w:rsid w:val="19A91846"/>
    <w:rsid w:val="20E83E2F"/>
    <w:rsid w:val="2FD1009E"/>
    <w:rsid w:val="37252A99"/>
    <w:rsid w:val="3BD84178"/>
    <w:rsid w:val="45BE1CA5"/>
    <w:rsid w:val="4650443E"/>
    <w:rsid w:val="48BB2714"/>
    <w:rsid w:val="4A9907BC"/>
    <w:rsid w:val="54550325"/>
    <w:rsid w:val="5AD1470C"/>
    <w:rsid w:val="5CAD5D22"/>
    <w:rsid w:val="5F4224FF"/>
    <w:rsid w:val="65835235"/>
    <w:rsid w:val="6BC85ABA"/>
    <w:rsid w:val="6E624C43"/>
    <w:rsid w:val="6FDB19B6"/>
    <w:rsid w:val="79F758A6"/>
    <w:rsid w:val="7BD63C8C"/>
    <w:rsid w:val="7F5A4182"/>
    <w:rsid w:val="7FEB5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4">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9"/>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qFormat/>
    <w:uiPriority w:val="0"/>
    <w:pPr>
      <w:keepNext/>
      <w:keepLines/>
      <w:spacing w:before="260" w:after="260" w:line="413" w:lineRule="auto"/>
      <w:outlineLvl w:val="2"/>
    </w:pPr>
    <w:rPr>
      <w:b/>
      <w:sz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firstLineChars="200"/>
    </w:pPr>
  </w:style>
  <w:style w:type="paragraph" w:styleId="3">
    <w:name w:val="Body Text Indent"/>
    <w:basedOn w:val="1"/>
    <w:link w:val="30"/>
    <w:qFormat/>
    <w:uiPriority w:val="99"/>
    <w:pPr>
      <w:spacing w:line="700" w:lineRule="exact"/>
      <w:ind w:left="960"/>
    </w:pPr>
    <w:rPr>
      <w:sz w:val="44"/>
    </w:rPr>
  </w:style>
  <w:style w:type="paragraph" w:styleId="7">
    <w:name w:val="Body Text"/>
    <w:basedOn w:val="1"/>
    <w:qFormat/>
    <w:uiPriority w:val="0"/>
    <w:rPr>
      <w:rFonts w:ascii="仿宋_GB2312" w:eastAsia="仿宋_GB2312"/>
      <w:sz w:val="32"/>
    </w:rPr>
  </w:style>
  <w:style w:type="paragraph" w:styleId="8">
    <w:name w:val="toc 3"/>
    <w:basedOn w:val="1"/>
    <w:next w:val="1"/>
    <w:qFormat/>
    <w:uiPriority w:val="39"/>
    <w:pPr>
      <w:ind w:left="840" w:leftChars="400"/>
    </w:pPr>
  </w:style>
  <w:style w:type="paragraph" w:styleId="9">
    <w:name w:val="Plain Text"/>
    <w:basedOn w:val="1"/>
    <w:qFormat/>
    <w:uiPriority w:val="0"/>
    <w:rPr>
      <w:rFonts w:ascii="宋体" w:hAnsi="Courier New"/>
      <w:sz w:val="21"/>
    </w:rPr>
  </w:style>
  <w:style w:type="paragraph" w:styleId="10">
    <w:name w:val="Date"/>
    <w:basedOn w:val="1"/>
    <w:next w:val="1"/>
    <w:qFormat/>
    <w:uiPriority w:val="0"/>
  </w:style>
  <w:style w:type="paragraph" w:styleId="11">
    <w:name w:val="Body Text Indent 2"/>
    <w:basedOn w:val="1"/>
    <w:link w:val="28"/>
    <w:qFormat/>
    <w:uiPriority w:val="0"/>
    <w:pPr>
      <w:spacing w:after="120" w:line="480" w:lineRule="auto"/>
      <w:ind w:left="420" w:leftChars="200"/>
    </w:pPr>
  </w:style>
  <w:style w:type="paragraph" w:styleId="12">
    <w:name w:val="Balloon Text"/>
    <w:basedOn w:val="1"/>
    <w:link w:val="26"/>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rPr>
  </w:style>
  <w:style w:type="paragraph" w:styleId="15">
    <w:name w:val="toc 1"/>
    <w:basedOn w:val="1"/>
    <w:next w:val="1"/>
    <w:qFormat/>
    <w:uiPriority w:val="39"/>
    <w:pPr>
      <w:spacing w:line="180" w:lineRule="auto"/>
      <w:jc w:val="center"/>
    </w:pPr>
    <w:rPr>
      <w:sz w:val="30"/>
    </w:rPr>
  </w:style>
  <w:style w:type="paragraph" w:styleId="16">
    <w:name w:val="toc 2"/>
    <w:basedOn w:val="1"/>
    <w:next w:val="1"/>
    <w:qFormat/>
    <w:uiPriority w:val="39"/>
    <w:pPr>
      <w:ind w:left="420" w:leftChars="200"/>
    </w:pPr>
  </w:style>
  <w:style w:type="table" w:styleId="18">
    <w:name w:val="Table Grid"/>
    <w:basedOn w:val="1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FollowedHyperlink"/>
    <w:basedOn w:val="19"/>
    <w:semiHidden/>
    <w:unhideWhenUsed/>
    <w:uiPriority w:val="99"/>
    <w:rPr>
      <w:color w:val="800080" w:themeColor="followedHyperlink"/>
      <w:u w:val="single"/>
    </w:rPr>
  </w:style>
  <w:style w:type="character" w:styleId="21">
    <w:name w:val="Hyperlink"/>
    <w:basedOn w:val="19"/>
    <w:qFormat/>
    <w:uiPriority w:val="99"/>
    <w:rPr>
      <w:color w:val="0563C1"/>
      <w:u w:val="single"/>
    </w:rPr>
  </w:style>
  <w:style w:type="character" w:customStyle="1" w:styleId="22">
    <w:name w:val="para1"/>
    <w:qFormat/>
    <w:uiPriority w:val="0"/>
    <w:rPr>
      <w:rFonts w:hint="default" w:ascii="Symbol" w:hAnsi="Symbol" w:cs="Symbol"/>
      <w:sz w:val="18"/>
      <w:szCs w:val="18"/>
    </w:rPr>
  </w:style>
  <w:style w:type="paragraph" w:customStyle="1" w:styleId="23">
    <w:name w:val="1"/>
    <w:basedOn w:val="1"/>
    <w:next w:val="9"/>
    <w:qFormat/>
    <w:uiPriority w:val="0"/>
    <w:rPr>
      <w:rFonts w:ascii="宋体" w:hAnsi="Courier New"/>
      <w:sz w:val="21"/>
    </w:rPr>
  </w:style>
  <w:style w:type="paragraph" w:customStyle="1" w:styleId="24">
    <w:name w:val="p0"/>
    <w:basedOn w:val="1"/>
    <w:qFormat/>
    <w:uiPriority w:val="0"/>
    <w:pPr>
      <w:widowControl/>
    </w:pPr>
    <w:rPr>
      <w:kern w:val="0"/>
      <w:sz w:val="20"/>
      <w:szCs w:val="21"/>
    </w:rPr>
  </w:style>
  <w:style w:type="paragraph" w:customStyle="1" w:styleId="25">
    <w:name w:val="图例"/>
    <w:basedOn w:val="1"/>
    <w:qFormat/>
    <w:uiPriority w:val="0"/>
    <w:pPr>
      <w:spacing w:before="120" w:after="120" w:line="360" w:lineRule="auto"/>
      <w:jc w:val="center"/>
    </w:pPr>
    <w:rPr>
      <w:rFonts w:eastAsia="仿宋_GB2312"/>
      <w:b/>
      <w:sz w:val="24"/>
    </w:rPr>
  </w:style>
  <w:style w:type="character" w:customStyle="1" w:styleId="26">
    <w:name w:val="批注框文本 字符"/>
    <w:basedOn w:val="19"/>
    <w:link w:val="12"/>
    <w:qFormat/>
    <w:uiPriority w:val="0"/>
    <w:rPr>
      <w:kern w:val="2"/>
      <w:sz w:val="18"/>
      <w:szCs w:val="18"/>
    </w:rPr>
  </w:style>
  <w:style w:type="paragraph" w:customStyle="1" w:styleId="27">
    <w:name w:val="List Paragraph_cb2a3d31-4424-41b8-a853-33156c39af94"/>
    <w:basedOn w:val="1"/>
    <w:qFormat/>
    <w:uiPriority w:val="34"/>
    <w:pPr>
      <w:ind w:firstLine="420" w:firstLineChars="200"/>
    </w:pPr>
  </w:style>
  <w:style w:type="character" w:customStyle="1" w:styleId="28">
    <w:name w:val="正文文本缩进 2 字符"/>
    <w:basedOn w:val="19"/>
    <w:link w:val="11"/>
    <w:qFormat/>
    <w:uiPriority w:val="0"/>
    <w:rPr>
      <w:kern w:val="2"/>
      <w:sz w:val="28"/>
    </w:rPr>
  </w:style>
  <w:style w:type="character" w:customStyle="1" w:styleId="29">
    <w:name w:val="标题 2 字符"/>
    <w:link w:val="5"/>
    <w:qFormat/>
    <w:uiPriority w:val="0"/>
    <w:rPr>
      <w:rFonts w:ascii="Arial" w:hAnsi="Arial" w:eastAsia="黑体"/>
      <w:b/>
      <w:kern w:val="2"/>
      <w:sz w:val="32"/>
    </w:rPr>
  </w:style>
  <w:style w:type="character" w:customStyle="1" w:styleId="30">
    <w:name w:val="正文文本缩进 字符"/>
    <w:basedOn w:val="19"/>
    <w:link w:val="3"/>
    <w:qFormat/>
    <w:uiPriority w:val="99"/>
    <w:rPr>
      <w:kern w:val="2"/>
      <w:sz w:val="44"/>
    </w:rPr>
  </w:style>
  <w:style w:type="paragraph" w:styleId="31">
    <w:name w:val="List Paragraph"/>
    <w:basedOn w:val="1"/>
    <w:qFormat/>
    <w:uiPriority w:val="99"/>
    <w:pPr>
      <w:ind w:firstLine="420" w:firstLineChars="200"/>
    </w:pPr>
  </w:style>
  <w:style w:type="character" w:customStyle="1" w:styleId="32">
    <w:name w:val="标题 1 字符"/>
    <w:basedOn w:val="19"/>
    <w:link w:val="4"/>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重庆化工职业学院</Company>
  <Pages>46</Pages>
  <Words>3757</Words>
  <Characters>21417</Characters>
  <Lines>178</Lines>
  <Paragraphs>50</Paragraphs>
  <TotalTime>437</TotalTime>
  <ScaleCrop>false</ScaleCrop>
  <LinksUpToDate>false</LinksUpToDate>
  <CharactersWithSpaces>25124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2021-11-07T08:22:00Z</dcterms:created>
  <dc:creator>hp</dc:creator>
  <cp:lastModifiedBy>limitless</cp:lastModifiedBy>
  <cp:lastPrinted>2021-08-31T06:39:00Z</cp:lastPrinted>
  <dcterms:modified xsi:type="dcterms:W3CDTF">2021-12-22T11:52:30Z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334749252_cloud</vt:lpwstr>
  </property>
  <property fmtid="{D5CDD505-2E9C-101B-9397-08002B2CF9AE}" pid="4" name="ICV">
    <vt:lpwstr>AF3991C6CF124454BEB0ACCAB623D8E6</vt:lpwstr>
  </property>
</Properties>
</file>