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重庆化工职业学院202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年度</w:t>
      </w:r>
      <w:r>
        <w:rPr>
          <w:rFonts w:hint="eastAsia"/>
          <w:sz w:val="32"/>
          <w:szCs w:val="32"/>
          <w:lang w:eastAsia="zh-CN"/>
        </w:rPr>
        <w:t>第一季度</w:t>
      </w:r>
      <w:r>
        <w:rPr>
          <w:rFonts w:hint="eastAsia"/>
          <w:sz w:val="32"/>
          <w:szCs w:val="32"/>
        </w:rPr>
        <w:t>公开招聘工作人员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制药</w:t>
      </w:r>
      <w:r>
        <w:rPr>
          <w:rFonts w:hint="eastAsia"/>
          <w:sz w:val="32"/>
          <w:szCs w:val="32"/>
        </w:rPr>
        <w:t>学院专任教师</w:t>
      </w:r>
      <w:r>
        <w:rPr>
          <w:rFonts w:hint="eastAsia"/>
          <w:sz w:val="32"/>
          <w:szCs w:val="32"/>
          <w:lang w:eastAsia="zh-CN"/>
        </w:rPr>
        <w:t>专业</w:t>
      </w:r>
      <w:r>
        <w:rPr>
          <w:rFonts w:hint="eastAsia"/>
          <w:sz w:val="32"/>
          <w:szCs w:val="32"/>
        </w:rPr>
        <w:t>技能测试</w:t>
      </w:r>
      <w:r>
        <w:rPr>
          <w:rFonts w:hint="eastAsia"/>
          <w:sz w:val="32"/>
          <w:szCs w:val="32"/>
          <w:lang w:eastAsia="zh-CN"/>
        </w:rPr>
        <w:t>（试讲</w:t>
      </w:r>
      <w:r>
        <w:rPr>
          <w:rFonts w:hint="eastAsia"/>
          <w:sz w:val="32"/>
          <w:szCs w:val="32"/>
          <w:lang w:val="en-US" w:eastAsia="zh-CN"/>
        </w:rPr>
        <w:t>+技术技能测试</w:t>
      </w:r>
      <w:r>
        <w:rPr>
          <w:rFonts w:hint="eastAsia"/>
          <w:sz w:val="32"/>
          <w:szCs w:val="32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一、理论题目</w:t>
      </w:r>
    </w:p>
    <w:p>
      <w:pPr>
        <w:ind w:firstLine="280" w:firstLineChars="1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（一）试讲题目：阿司匹林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题目来源：《药理学》第十六章第二节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主要内容：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水杨酸类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阿司匹林(乙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水杨酸)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[体内过程]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口服吸收迅速，小部分在胃、大部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吸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2小时血药浓度达高峰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吸收过程中及吸收后很快被酯酶水解为水杨酸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故阿司匹林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药浓度低，t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  <w:lang w:val="en-US" w:eastAsia="zh-CN"/>
        </w:rPr>
        <w:t>1/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约15分钟。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解后以水杨酸盐的形式存在，有药理活性。水杨酸盐血浆蛋白结合率为80%-90%，游离型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速分布至全身组织，并可进入脑脊液、关节腔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胎盘及乳汁中。水杨酸盐主要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经肝脏代谢、经肾脏排泄。尿液pH对水杨酸盐的排泄影响很大：尿液呈碱性时其解离增多、重吸收减少、排泄增多，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可排出85%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尿液呈酸性时则解离减少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重吸收增多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排泄减少,仅排出5%。故碱化尿液可促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排泄。阿司匹林的用量直接影响水杨酸盐的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  <w:lang w:val="en-US" w:eastAsia="zh-CN"/>
        </w:rPr>
        <w:t>1/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，口服1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g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以下阿司匹林时，水解产生的水杨酸较少，按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级动力学消除，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  <w:lang w:val="en-US" w:eastAsia="zh-CN"/>
        </w:rPr>
        <w:t>1/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为2-3小时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但当口服阿司匹林达1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g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以上时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水杨酸生成量增多，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零级动力学消除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  <w:lang w:val="en-US" w:eastAsia="zh-CN"/>
        </w:rPr>
        <w:t>1/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延长为15-30小时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如剂量再增加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血中游离水杨酸浓度将急剧升高，可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现中毒症状。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[作用与应用]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1.解热镇痛抗炎抗风湿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阿司匹林有较强的解热镇痛作用,用于感冒发热及头痛、牙痛、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肌肉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痛、关节痛、神经痛和痛经等慢性钝痛。较大剂量有较强的抗炎抗风湿作用。治疗急性风湿热疗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迅速可靠，可使患者24-48小时内退热，关节红肿及疼痛减轻、血沉减慢、主观感觉好转，具有诊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和治疗双重意义。对类风湿关节炎也有明显疗效，可迅速缓解疼痛，使关节炎症消退，减轻关节伤。目前仍是急性风湿热,风湿性关节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及类风湿关节炎的首选药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抗风湿疗效与剂量呈正相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关，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因此最好用至最大耐受量，但同时应注意防止中毒。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.影响血栓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形成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小剂量阿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司匹林可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择性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制血小板C0X.减少血栓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TXA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baseline"/>
          <w:lang w:val="en-US" w:eastAsia="zh-CN"/>
        </w:rPr>
        <w:t>)的生成，从而抑制血小板聚集，防止血栓形成。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较大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量阿司匹林也能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制血管内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C0X，使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前列环素（PGI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）合成减少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而PGI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baseline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TXA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baseline"/>
          <w:lang w:val="en-US" w:eastAsia="zh-CN"/>
        </w:rPr>
        <w:t>的生理性对抗剂，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其合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减少可促进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血栓形成，用于缺血性心脏病、脑缺血病等，如用于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稳定型、不稳定型心绞痛和进展性心肌梗死，能降低病死率及再梗死率，对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过性脑缺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防止血栓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形成。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[不良反应]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胃肠道反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常见。口服可直接刺激胃黏膜，引起上腹不适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呕吐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血药浓度高则刺激延髓催吐化学感受区(CIZ)而引起恶心、呕吐。长期大剂量服用，可致不同程度的胃黏膜损伤，引起胃溃疡及无痛性胃出血,原有溃疡者症状加重，与抑制胃黏膜COX-1、减少PC合成有关,内源性PC对胃黏膜有保护作用。饭后服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服用肠溶片或同服抗酸药、胃黏膜保护药可减轻或避免上述反应。溃疡病患者禁用。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2.凝血障碍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般剂量可抑制血小板聚集，延长出血时间。大剂量(&gt;5g/d)或长期服用还可抑制凝血酶原形成,引起凝血障碍,可用维生素K防治。严重肝损害、血小板减少症、低凝血酶原血症、维生素K缺乏、血友病患者孕妇、产妇禁用。术前一周应停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以防出血。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.过敏反应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少数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患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者可出现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皮疹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血管神经性水肿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过敏性休克。某些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患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者可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诱支气管哮喘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称为“阿司匹林哮喘”，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临床表现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凶险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，服药数分钟即可出现呼吸困难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喘息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，严重者可致死。β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体激动药治疗无效，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糖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皮质激素治疗有效。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哮喘、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鼻息肉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慢性荨麻疹患者禁用。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水杨酸反应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剂量过大(&gt;5g/d)可致头痛、眩晕、恶心、呕吐、耳鸣、视力和听力减退，称为水杨酸反应，是水杨酸类中毒的表现，严重者可出现过度呼吸、酸碱平衡失调、高热、脱水、精神错乱、昏迷,甚至危及生命。严重中毒者应立即停药，静脉滴注碳酸氢钠以碱化血液和尿液，促进排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5.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瑞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夷(Reye)综合征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 儿童患病毒性感染性疾病如流感、水痘麻疹、流行性腮腺炎等使用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司匹林退热时，偶可引起急性肝脂肪变性脑病综合征(瑞夷综合征)，以肝衰竭合并脑病为突出表现,虽少见,但预后恶劣，可致死。故病毒性感染患儿不宜用阿司匹林，可给予对乙酰氨基酚。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 xml:space="preserve">试讲时间 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分钟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试讲要求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1.使用普通话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2.使用板书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3.有纸质教案</w:t>
      </w:r>
    </w:p>
    <w:p>
      <w:pPr>
        <w:wordWrap w:val="0"/>
        <w:jc w:val="center"/>
        <w:rPr>
          <w:rFonts w:hint="eastAsia" w:ascii="宋体" w:hAnsi="宋体"/>
          <w:szCs w:val="28"/>
          <w:lang w:eastAsia="zh-CN"/>
        </w:rPr>
      </w:pP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二、</w:t>
      </w:r>
      <w:r>
        <w:rPr>
          <w:rFonts w:hint="eastAsia"/>
          <w:sz w:val="28"/>
          <w:szCs w:val="28"/>
        </w:rPr>
        <w:t>技能</w:t>
      </w:r>
      <w:r>
        <w:rPr>
          <w:rFonts w:hint="eastAsia"/>
          <w:sz w:val="28"/>
          <w:szCs w:val="28"/>
          <w:lang w:eastAsia="zh-CN"/>
        </w:rPr>
        <w:t>测试</w:t>
      </w:r>
    </w:p>
    <w:p>
      <w:pPr>
        <w:numPr>
          <w:ilvl w:val="0"/>
          <w:numId w:val="0"/>
        </w:numPr>
        <w:spacing w:line="30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考试题目：</w:t>
      </w:r>
      <w:r>
        <w:rPr>
          <w:rFonts w:hint="eastAsia"/>
          <w:sz w:val="28"/>
          <w:szCs w:val="28"/>
          <w:lang w:val="en-US" w:eastAsia="zh-CN"/>
        </w:rPr>
        <w:t>口服补液盐的制备</w:t>
      </w:r>
    </w:p>
    <w:p>
      <w:pPr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（一）说明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1.本题满分100分，完成时间60分钟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不</w:t>
      </w:r>
      <w:r>
        <w:rPr>
          <w:rFonts w:hint="eastAsia"/>
          <w:sz w:val="28"/>
          <w:szCs w:val="28"/>
        </w:rPr>
        <w:t>延时。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2.考核成绩为操作过程评分、结果评分之和。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（二）操作步骤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</w:rPr>
        <w:t>处方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1"/>
        <w:gridCol w:w="1592"/>
        <w:gridCol w:w="2034"/>
        <w:gridCol w:w="13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1" w:type="dxa"/>
            <w:noWrap w:val="0"/>
            <w:vAlign w:val="top"/>
          </w:tcPr>
          <w:p>
            <w:pPr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氯化钠</w:t>
            </w:r>
          </w:p>
        </w:tc>
        <w:tc>
          <w:tcPr>
            <w:tcW w:w="1592" w:type="dxa"/>
            <w:noWrap w:val="0"/>
            <w:vAlign w:val="top"/>
          </w:tcPr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3.5</w:t>
            </w:r>
            <w:r>
              <w:rPr>
                <w:rFonts w:hint="eastAsia"/>
                <w:sz w:val="28"/>
                <w:szCs w:val="28"/>
              </w:rPr>
              <w:t xml:space="preserve"> g</w:t>
            </w:r>
          </w:p>
        </w:tc>
        <w:tc>
          <w:tcPr>
            <w:tcW w:w="2034" w:type="dxa"/>
            <w:noWrap w:val="0"/>
            <w:vAlign w:val="top"/>
          </w:tcPr>
          <w:p>
            <w:pPr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碳酸氢钠</w:t>
            </w:r>
          </w:p>
        </w:tc>
        <w:tc>
          <w:tcPr>
            <w:tcW w:w="1384" w:type="dxa"/>
            <w:noWrap w:val="0"/>
            <w:vAlign w:val="top"/>
          </w:tcPr>
          <w:p>
            <w:pPr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2.5g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1" w:type="dxa"/>
            <w:noWrap w:val="0"/>
            <w:vAlign w:val="top"/>
          </w:tcPr>
          <w:p>
            <w:pPr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氯化钾</w:t>
            </w:r>
          </w:p>
        </w:tc>
        <w:tc>
          <w:tcPr>
            <w:tcW w:w="1592" w:type="dxa"/>
            <w:noWrap w:val="0"/>
            <w:vAlign w:val="top"/>
          </w:tcPr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1.5</w:t>
            </w:r>
            <w:r>
              <w:rPr>
                <w:rFonts w:hint="eastAsia"/>
                <w:sz w:val="28"/>
                <w:szCs w:val="28"/>
              </w:rPr>
              <w:t>g</w:t>
            </w:r>
          </w:p>
        </w:tc>
        <w:tc>
          <w:tcPr>
            <w:tcW w:w="2034" w:type="dxa"/>
            <w:noWrap w:val="0"/>
            <w:vAlign w:val="top"/>
          </w:tcPr>
          <w:p>
            <w:pPr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葡萄糖</w:t>
            </w:r>
          </w:p>
        </w:tc>
        <w:tc>
          <w:tcPr>
            <w:tcW w:w="1384" w:type="dxa"/>
            <w:noWrap w:val="0"/>
            <w:vAlign w:val="top"/>
          </w:tcPr>
          <w:p>
            <w:pPr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22g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1" w:type="dxa"/>
            <w:noWrap w:val="0"/>
            <w:vAlign w:val="top"/>
          </w:tcPr>
          <w:p>
            <w:pPr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共制</w:t>
            </w:r>
          </w:p>
        </w:tc>
        <w:tc>
          <w:tcPr>
            <w:tcW w:w="1592" w:type="dxa"/>
            <w:noWrap w:val="0"/>
            <w:vAlign w:val="top"/>
          </w:tcPr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2包</w:t>
            </w:r>
          </w:p>
        </w:tc>
        <w:tc>
          <w:tcPr>
            <w:tcW w:w="2034" w:type="dxa"/>
            <w:noWrap w:val="0"/>
            <w:vAlign w:val="top"/>
          </w:tcPr>
          <w:p>
            <w:pPr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1384" w:type="dxa"/>
            <w:noWrap w:val="0"/>
            <w:vAlign w:val="top"/>
          </w:tcPr>
          <w:p>
            <w:pPr>
              <w:ind w:firstLine="560" w:firstLineChars="200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</w:tbl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制法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取葡萄糖、氯化钠粉碎成细粉，混匀，分装于大袋中；另将氯化钠、碳酸氢钠粉碎成细粉，混匀，分装于小袋中，将大小袋共装于一包，即得。</w:t>
      </w:r>
    </w:p>
    <w:p>
      <w:pPr>
        <w:ind w:firstLine="420" w:firstLineChars="200"/>
        <w:rPr>
          <w:rFonts w:hint="eastAsia" w:ascii="宋体" w:hAnsi="宋体"/>
          <w:szCs w:val="21"/>
        </w:rPr>
      </w:pPr>
    </w:p>
    <w:p/>
    <w:p/>
    <w:p/>
    <w:p/>
    <w:p/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F87875"/>
    <w:rsid w:val="05EB3301"/>
    <w:rsid w:val="0FF35657"/>
    <w:rsid w:val="12C00FFD"/>
    <w:rsid w:val="178D42C2"/>
    <w:rsid w:val="17F87875"/>
    <w:rsid w:val="207A2CDB"/>
    <w:rsid w:val="21785057"/>
    <w:rsid w:val="2E5A6CE0"/>
    <w:rsid w:val="33D522DF"/>
    <w:rsid w:val="3E52655F"/>
    <w:rsid w:val="3E9C707D"/>
    <w:rsid w:val="4BBA3578"/>
    <w:rsid w:val="4F763304"/>
    <w:rsid w:val="543A7BA8"/>
    <w:rsid w:val="627D0F7B"/>
    <w:rsid w:val="643A38A5"/>
    <w:rsid w:val="6523524C"/>
    <w:rsid w:val="73F65617"/>
    <w:rsid w:val="76AE5BA3"/>
    <w:rsid w:val="79150161"/>
    <w:rsid w:val="7BD1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2021-11-23T02:18:00Z</dcterms:created>
  <dc:creator>Administrator</dc:creator>
  <cp:lastModifiedBy>pc</cp:lastModifiedBy>
  <cp:lastPrinted>2022-02-18T01:30:00Z</cp:lastPrinted>
  <dcterms:modified xsi:type="dcterms:W3CDTF">2022-02-18T06:41:58Z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8B8B8CE771504BA3B7FDD8EE16B17086</vt:lpwstr>
  </property>
</Properties>
</file>